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A40E9" w14:textId="4394C017" w:rsidR="00AB67E5" w:rsidRPr="00A4661A" w:rsidRDefault="00AB67E5" w:rsidP="00A4661A">
      <w:pPr>
        <w:spacing w:after="240"/>
        <w:jc w:val="center"/>
        <w:rPr>
          <w:rFonts w:cs="Calibri"/>
          <w:b/>
          <w:sz w:val="36"/>
          <w:szCs w:val="36"/>
        </w:rPr>
      </w:pPr>
      <w:r>
        <w:rPr>
          <w:noProof/>
          <w:lang w:eastAsia="en-GB"/>
        </w:rPr>
        <w:drawing>
          <wp:anchor distT="0" distB="0" distL="114300" distR="114300" simplePos="0" relativeHeight="251660288" behindDoc="0" locked="0" layoutInCell="1" allowOverlap="1" wp14:anchorId="7699D984" wp14:editId="073A8721">
            <wp:simplePos x="0" y="0"/>
            <wp:positionH relativeFrom="margin">
              <wp:align>left</wp:align>
            </wp:positionH>
            <wp:positionV relativeFrom="paragraph">
              <wp:posOffset>-339725</wp:posOffset>
            </wp:positionV>
            <wp:extent cx="596265" cy="7042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 cy="704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6B5EBF4C" wp14:editId="2CDDBD4C">
            <wp:simplePos x="0" y="0"/>
            <wp:positionH relativeFrom="column">
              <wp:posOffset>8684895</wp:posOffset>
            </wp:positionH>
            <wp:positionV relativeFrom="paragraph">
              <wp:posOffset>-258445</wp:posOffset>
            </wp:positionV>
            <wp:extent cx="1082675" cy="561975"/>
            <wp:effectExtent l="0" t="0" r="3175" b="9525"/>
            <wp:wrapNone/>
            <wp:docPr id="1" name="Picture 1" descr="Image result for REAch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ch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26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C8B">
        <w:rPr>
          <w:rFonts w:cs="Calibri"/>
          <w:b/>
          <w:sz w:val="36"/>
          <w:szCs w:val="36"/>
        </w:rPr>
        <w:t xml:space="preserve">Copperfield Academy – Pupil Premium Strategy </w:t>
      </w:r>
      <w:r w:rsidR="00677495">
        <w:rPr>
          <w:rFonts w:cs="Calibri"/>
          <w:b/>
          <w:color w:val="CC00FF"/>
          <w:sz w:val="36"/>
          <w:szCs w:val="36"/>
        </w:rPr>
        <w:t>201</w:t>
      </w:r>
      <w:r w:rsidR="00A4661A" w:rsidRPr="00A4661A">
        <w:rPr>
          <w:rFonts w:cs="Calibri"/>
          <w:b/>
          <w:color w:val="CC00FF"/>
          <w:sz w:val="36"/>
          <w:szCs w:val="36"/>
        </w:rPr>
        <w:t>9</w:t>
      </w:r>
      <w:r w:rsidR="00677495">
        <w:rPr>
          <w:rFonts w:cs="Calibri"/>
          <w:b/>
          <w:color w:val="CC00FF"/>
          <w:sz w:val="36"/>
          <w:szCs w:val="36"/>
        </w:rPr>
        <w:t>-20</w:t>
      </w:r>
    </w:p>
    <w:p w14:paraId="6D48EDDA" w14:textId="77777777" w:rsidR="00AB67E5" w:rsidRPr="00AE5C8B" w:rsidRDefault="00AB67E5" w:rsidP="00AB67E5">
      <w:pPr>
        <w:spacing w:after="240"/>
        <w:jc w:val="both"/>
        <w:rPr>
          <w:rFonts w:cs="Calibri"/>
          <w:color w:val="000000"/>
          <w:bdr w:val="none" w:sz="0" w:space="0" w:color="auto" w:frame="1"/>
        </w:rPr>
      </w:pPr>
      <w:r w:rsidRPr="00AE5C8B">
        <w:rPr>
          <w:rFonts w:cs="Calibri"/>
          <w:color w:val="000000"/>
          <w:bdr w:val="none" w:sz="0" w:space="0" w:color="auto" w:frame="1"/>
        </w:rPr>
        <w:t xml:space="preserve">The Pupil Premium grant is an allocation of funding provided to schools to support children who may be vulnerable to underachievement. The Pupil Premium is allocated to schools on the basis of the number of students on roll known to be currently eligible for free school meals or who have claimed within the last 6 years, as well as pupils who have been looked after by the local authority, or have left local authority care on a special guardianship order or child arrangements order. All schools are required to report on the amount of funding and how this is being used. The DFE defines pupils receiving the pupil premium funding as ‘disadvantaged’ and pupils not receiving the funding as ‘other’ pupils.  </w:t>
      </w:r>
    </w:p>
    <w:p w14:paraId="5EB45C31" w14:textId="2649691B" w:rsidR="00677495" w:rsidRDefault="00677495" w:rsidP="00AB67E5">
      <w:pPr>
        <w:spacing w:after="240"/>
        <w:jc w:val="both"/>
        <w:rPr>
          <w:rFonts w:cs="Calibri"/>
          <w:color w:val="000000"/>
          <w:bdr w:val="none" w:sz="0" w:space="0" w:color="auto" w:frame="1"/>
        </w:rPr>
      </w:pPr>
      <w:r>
        <w:rPr>
          <w:rFonts w:cs="Calibri"/>
          <w:color w:val="000000"/>
          <w:bdr w:val="none" w:sz="0" w:space="0" w:color="auto" w:frame="1"/>
        </w:rPr>
        <w:t xml:space="preserve">In line with published research by the Education Endowment Foundation (who work in partnership with the Sutton Trust as the government-designated </w:t>
      </w:r>
      <w:r w:rsidR="00D60CD9">
        <w:rPr>
          <w:rFonts w:cs="Calibri"/>
          <w:color w:val="000000"/>
          <w:bdr w:val="none" w:sz="0" w:space="0" w:color="auto" w:frame="1"/>
        </w:rPr>
        <w:t>‘</w:t>
      </w:r>
      <w:r>
        <w:rPr>
          <w:rFonts w:cs="Calibri"/>
          <w:color w:val="000000"/>
          <w:bdr w:val="none" w:sz="0" w:space="0" w:color="auto" w:frame="1"/>
        </w:rPr>
        <w:t>What Works</w:t>
      </w:r>
      <w:r w:rsidR="00D60CD9">
        <w:rPr>
          <w:rFonts w:cs="Calibri"/>
          <w:color w:val="000000"/>
          <w:bdr w:val="none" w:sz="0" w:space="0" w:color="auto" w:frame="1"/>
        </w:rPr>
        <w:t>’</w:t>
      </w:r>
      <w:r>
        <w:rPr>
          <w:rFonts w:cs="Calibri"/>
          <w:color w:val="000000"/>
          <w:bdr w:val="none" w:sz="0" w:space="0" w:color="auto" w:frame="1"/>
        </w:rPr>
        <w:t xml:space="preserve"> centre for improving education outcomes for school-aged children) w</w:t>
      </w:r>
      <w:r w:rsidR="00AB67E5" w:rsidRPr="00AE5C8B">
        <w:rPr>
          <w:rFonts w:cs="Calibri"/>
          <w:color w:val="000000"/>
          <w:bdr w:val="none" w:sz="0" w:space="0" w:color="auto" w:frame="1"/>
        </w:rPr>
        <w:t xml:space="preserve">e organise teaching and learning at Copperfield Academy in order to meet the needs of all children in the best way.  </w:t>
      </w:r>
    </w:p>
    <w:p w14:paraId="21D9C1C7" w14:textId="0B67ED14" w:rsidR="00AB67E5" w:rsidRPr="00AE5C8B" w:rsidRDefault="00AB67E5" w:rsidP="00AB67E5">
      <w:pPr>
        <w:spacing w:after="240"/>
        <w:jc w:val="both"/>
        <w:rPr>
          <w:rFonts w:cs="Calibri"/>
          <w:color w:val="000000"/>
          <w:bdr w:val="none" w:sz="0" w:space="0" w:color="auto" w:frame="1"/>
        </w:rPr>
      </w:pPr>
      <w:r w:rsidRPr="00AE5C8B">
        <w:rPr>
          <w:rFonts w:cs="Calibri"/>
          <w:color w:val="000000"/>
          <w:bdr w:val="none" w:sz="0" w:space="0" w:color="auto" w:frame="1"/>
        </w:rPr>
        <w:t xml:space="preserve">We allocate </w:t>
      </w:r>
      <w:r w:rsidR="00677495">
        <w:rPr>
          <w:rFonts w:cs="Calibri"/>
          <w:color w:val="000000"/>
          <w:bdr w:val="none" w:sz="0" w:space="0" w:color="auto" w:frame="1"/>
        </w:rPr>
        <w:t>the greatest proportion</w:t>
      </w:r>
      <w:r w:rsidRPr="00AE5C8B">
        <w:rPr>
          <w:rFonts w:cs="Calibri"/>
          <w:color w:val="000000"/>
          <w:bdr w:val="none" w:sz="0" w:space="0" w:color="auto" w:frame="1"/>
        </w:rPr>
        <w:t xml:space="preserve"> of </w:t>
      </w:r>
      <w:r w:rsidR="00677495">
        <w:rPr>
          <w:rFonts w:cs="Calibri"/>
          <w:color w:val="000000"/>
          <w:bdr w:val="none" w:sz="0" w:space="0" w:color="auto" w:frame="1"/>
        </w:rPr>
        <w:t>our</w:t>
      </w:r>
      <w:r w:rsidRPr="00AE5C8B">
        <w:rPr>
          <w:rFonts w:cs="Calibri"/>
          <w:color w:val="000000"/>
          <w:bdr w:val="none" w:sz="0" w:space="0" w:color="auto" w:frame="1"/>
        </w:rPr>
        <w:t xml:space="preserve"> Pupil Premium </w:t>
      </w:r>
      <w:r w:rsidR="00677495">
        <w:rPr>
          <w:rFonts w:cs="Calibri"/>
          <w:color w:val="000000"/>
          <w:bdr w:val="none" w:sz="0" w:space="0" w:color="auto" w:frame="1"/>
        </w:rPr>
        <w:t>grant</w:t>
      </w:r>
      <w:r w:rsidRPr="00AE5C8B">
        <w:rPr>
          <w:rFonts w:cs="Calibri"/>
          <w:color w:val="000000"/>
          <w:bdr w:val="none" w:sz="0" w:space="0" w:color="auto" w:frame="1"/>
        </w:rPr>
        <w:t xml:space="preserve"> to make sure all children have their needs met through </w:t>
      </w:r>
      <w:r w:rsidR="00677495">
        <w:rPr>
          <w:rFonts w:cs="Calibri"/>
          <w:color w:val="000000"/>
          <w:bdr w:val="none" w:sz="0" w:space="0" w:color="auto" w:frame="1"/>
        </w:rPr>
        <w:t xml:space="preserve">high </w:t>
      </w:r>
      <w:r w:rsidRPr="00AE5C8B">
        <w:rPr>
          <w:rFonts w:cs="Calibri"/>
          <w:color w:val="000000"/>
          <w:bdr w:val="none" w:sz="0" w:space="0" w:color="auto" w:frame="1"/>
        </w:rPr>
        <w:t xml:space="preserve">quality first teaching. We are committed to ensuring that appropriate provision is made for children who belong to vulnerable groups and that our socially disadvantaged children have their needs adequately assessed and met. Copperfield Academy further supports these groups using many strategies that are beyond the remit of the expenditure report. </w:t>
      </w:r>
    </w:p>
    <w:p w14:paraId="39EBB341" w14:textId="14EF283C" w:rsidR="00AB67E5" w:rsidRDefault="00AB67E5" w:rsidP="00AB67E5">
      <w:pPr>
        <w:spacing w:after="240"/>
        <w:jc w:val="both"/>
        <w:rPr>
          <w:rFonts w:cs="Calibri"/>
          <w:color w:val="000000"/>
          <w:bdr w:val="none" w:sz="0" w:space="0" w:color="auto" w:frame="1"/>
        </w:rPr>
      </w:pPr>
      <w:r w:rsidRPr="00AE5C8B">
        <w:rPr>
          <w:rFonts w:cs="Calibri"/>
          <w:color w:val="000000"/>
          <w:bdr w:val="none" w:sz="0" w:space="0" w:color="auto" w:frame="1"/>
        </w:rPr>
        <w:t xml:space="preserve"> We recognise that not all children who receive the Pupil Premium Grant (PPG) will be socially disadvantaged and we also recognise that not all children that are disadvantaged receive the Pupil Premium Grant. Given this, we will carefully track how well Pupil Premium Grant children are achieving as a group compared to their peers at Copperfield and nationally. </w:t>
      </w:r>
    </w:p>
    <w:p w14:paraId="4802F0DD" w14:textId="35E7377A" w:rsidR="00677495" w:rsidRDefault="00677495" w:rsidP="00AB67E5">
      <w:pPr>
        <w:spacing w:after="240"/>
        <w:jc w:val="both"/>
        <w:rPr>
          <w:rFonts w:cs="Calibri"/>
          <w:color w:val="000000"/>
          <w:bdr w:val="none" w:sz="0" w:space="0" w:color="auto" w:frame="1"/>
        </w:rPr>
      </w:pPr>
      <w:r>
        <w:rPr>
          <w:rFonts w:cs="Calibri"/>
          <w:noProof/>
          <w:color w:val="000000"/>
          <w:bdr w:val="none" w:sz="0" w:space="0" w:color="auto" w:frame="1"/>
          <w:lang w:eastAsia="en-GB"/>
        </w:rPr>
        <w:drawing>
          <wp:anchor distT="0" distB="0" distL="114300" distR="114300" simplePos="0" relativeHeight="251657216" behindDoc="1" locked="0" layoutInCell="1" allowOverlap="1" wp14:anchorId="18F37A6D" wp14:editId="0787B67B">
            <wp:simplePos x="0" y="0"/>
            <wp:positionH relativeFrom="column">
              <wp:posOffset>2065952</wp:posOffset>
            </wp:positionH>
            <wp:positionV relativeFrom="paragraph">
              <wp:posOffset>188611</wp:posOffset>
            </wp:positionV>
            <wp:extent cx="5486400" cy="3200400"/>
            <wp:effectExtent l="0" t="0" r="0" b="1905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Pr>
          <w:rFonts w:cs="Calibri"/>
          <w:color w:val="000000"/>
          <w:bdr w:val="none" w:sz="0" w:space="0" w:color="auto" w:frame="1"/>
        </w:rPr>
        <w:t>Our strategy for 2019-20 can be summed up as:</w:t>
      </w:r>
    </w:p>
    <w:p w14:paraId="224894CA" w14:textId="70A89B3A" w:rsidR="00092B97" w:rsidRDefault="00092B97"/>
    <w:p w14:paraId="0F57FB55" w14:textId="7967A979" w:rsidR="00677495" w:rsidRDefault="00677495"/>
    <w:p w14:paraId="18DD7BC6" w14:textId="2FDAB279" w:rsidR="00677495" w:rsidRDefault="00677495"/>
    <w:p w14:paraId="73FD9648" w14:textId="627B4F8D" w:rsidR="00677495" w:rsidRDefault="00677495"/>
    <w:p w14:paraId="2FA7B6C1" w14:textId="501ADE7B" w:rsidR="00677495" w:rsidRDefault="00677495"/>
    <w:p w14:paraId="31D602C1" w14:textId="7A34796E" w:rsidR="00677495" w:rsidRDefault="00677495"/>
    <w:p w14:paraId="4A237090" w14:textId="4CA22B0A" w:rsidR="00677495" w:rsidRDefault="00677495"/>
    <w:p w14:paraId="0459F99A" w14:textId="0AC929B1" w:rsidR="00677495" w:rsidRDefault="00677495"/>
    <w:p w14:paraId="62512D3C" w14:textId="31F3E38F" w:rsidR="00677495" w:rsidRDefault="00EA48B0" w:rsidP="00EA48B0">
      <w:pPr>
        <w:tabs>
          <w:tab w:val="left" w:pos="6615"/>
        </w:tabs>
      </w:pPr>
      <w:r>
        <w:tab/>
      </w:r>
    </w:p>
    <w:p w14:paraId="67CD7704" w14:textId="505BC49F" w:rsidR="00677495" w:rsidRDefault="00677495"/>
    <w:p w14:paraId="6B92DE60" w14:textId="0857F205" w:rsidR="00677495" w:rsidRDefault="00E72176" w:rsidP="00E72176">
      <w:pPr>
        <w:tabs>
          <w:tab w:val="left" w:pos="8655"/>
        </w:tabs>
      </w:pPr>
      <w:r>
        <w:tab/>
      </w:r>
    </w:p>
    <w:p w14:paraId="0AC89791" w14:textId="3EE7CE71" w:rsidR="00677495" w:rsidRDefault="00E72176" w:rsidP="00E72176">
      <w:pPr>
        <w:tabs>
          <w:tab w:val="left" w:pos="8820"/>
        </w:tabs>
      </w:pPr>
      <w:r>
        <w:tab/>
      </w:r>
    </w:p>
    <w:p w14:paraId="4D889052" w14:textId="0B1565B2" w:rsidR="00677495" w:rsidRDefault="00677495"/>
    <w:p w14:paraId="4EEB1137" w14:textId="2B00439F" w:rsidR="00677495" w:rsidRDefault="00677495"/>
    <w:p w14:paraId="442F0008" w14:textId="5A210181" w:rsidR="00677495" w:rsidRDefault="00677495"/>
    <w:p w14:paraId="3F43A075" w14:textId="77777777" w:rsidR="00677495" w:rsidRDefault="00677495"/>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276"/>
        <w:gridCol w:w="3632"/>
        <w:gridCol w:w="1471"/>
        <w:gridCol w:w="4819"/>
        <w:gridCol w:w="1559"/>
      </w:tblGrid>
      <w:tr w:rsidR="00AB67E5" w:rsidRPr="00AE5C8B" w14:paraId="48E53E0E" w14:textId="77777777" w:rsidTr="00E510AA">
        <w:tc>
          <w:tcPr>
            <w:tcW w:w="15417" w:type="dxa"/>
            <w:gridSpan w:val="6"/>
            <w:shd w:val="clear" w:color="auto" w:fill="CCC0D9"/>
            <w:tcMar>
              <w:top w:w="57" w:type="dxa"/>
              <w:bottom w:w="57" w:type="dxa"/>
            </w:tcMar>
          </w:tcPr>
          <w:p w14:paraId="5580CA7F" w14:textId="77777777" w:rsidR="00AB67E5" w:rsidRPr="00AE5C8B" w:rsidRDefault="00AB67E5" w:rsidP="00AB67E5">
            <w:pPr>
              <w:pStyle w:val="ListParagraph"/>
              <w:numPr>
                <w:ilvl w:val="0"/>
                <w:numId w:val="1"/>
              </w:numPr>
              <w:ind w:left="426" w:hanging="284"/>
              <w:rPr>
                <w:rFonts w:cs="Calibri"/>
                <w:b/>
              </w:rPr>
            </w:pPr>
            <w:r w:rsidRPr="00AE5C8B">
              <w:rPr>
                <w:rFonts w:cs="Calibri"/>
                <w:b/>
              </w:rPr>
              <w:lastRenderedPageBreak/>
              <w:t>Summary information</w:t>
            </w:r>
          </w:p>
        </w:tc>
      </w:tr>
      <w:tr w:rsidR="00AB67E5" w:rsidRPr="00AE5C8B" w14:paraId="1A441F78" w14:textId="77777777" w:rsidTr="00E510AA">
        <w:tc>
          <w:tcPr>
            <w:tcW w:w="2660" w:type="dxa"/>
            <w:shd w:val="clear" w:color="auto" w:fill="auto"/>
            <w:tcMar>
              <w:top w:w="57" w:type="dxa"/>
              <w:bottom w:w="57" w:type="dxa"/>
            </w:tcMar>
          </w:tcPr>
          <w:p w14:paraId="1D8A89B6" w14:textId="77777777" w:rsidR="00AB67E5" w:rsidRPr="00AE5C8B" w:rsidRDefault="00AB67E5" w:rsidP="00E510AA">
            <w:pPr>
              <w:rPr>
                <w:rFonts w:cs="Calibri"/>
                <w:b/>
              </w:rPr>
            </w:pPr>
            <w:r w:rsidRPr="00AE5C8B">
              <w:rPr>
                <w:rFonts w:cs="Calibri"/>
                <w:b/>
              </w:rPr>
              <w:t>School</w:t>
            </w:r>
          </w:p>
        </w:tc>
        <w:tc>
          <w:tcPr>
            <w:tcW w:w="12757" w:type="dxa"/>
            <w:gridSpan w:val="5"/>
            <w:shd w:val="clear" w:color="auto" w:fill="auto"/>
            <w:tcMar>
              <w:top w:w="57" w:type="dxa"/>
              <w:bottom w:w="57" w:type="dxa"/>
            </w:tcMar>
          </w:tcPr>
          <w:p w14:paraId="66D1D0CC" w14:textId="77777777" w:rsidR="00AB67E5" w:rsidRPr="00AE5C8B" w:rsidRDefault="00AB67E5" w:rsidP="00E510AA">
            <w:pPr>
              <w:rPr>
                <w:rFonts w:cs="Calibri"/>
              </w:rPr>
            </w:pPr>
            <w:r w:rsidRPr="00AE5C8B">
              <w:rPr>
                <w:rFonts w:cs="Calibri"/>
              </w:rPr>
              <w:t>Copperfield Academy</w:t>
            </w:r>
          </w:p>
        </w:tc>
      </w:tr>
      <w:tr w:rsidR="00AB67E5" w:rsidRPr="00AE5C8B" w14:paraId="5BCA02E4" w14:textId="77777777" w:rsidTr="00EA48B0">
        <w:tc>
          <w:tcPr>
            <w:tcW w:w="2660" w:type="dxa"/>
            <w:shd w:val="clear" w:color="auto" w:fill="auto"/>
            <w:tcMar>
              <w:top w:w="57" w:type="dxa"/>
              <w:bottom w:w="57" w:type="dxa"/>
            </w:tcMar>
          </w:tcPr>
          <w:p w14:paraId="4277EDA6" w14:textId="77777777" w:rsidR="00AB67E5" w:rsidRPr="00AE5C8B" w:rsidRDefault="00AB67E5" w:rsidP="00E510AA">
            <w:pPr>
              <w:rPr>
                <w:rFonts w:cs="Calibri"/>
                <w:b/>
              </w:rPr>
            </w:pPr>
            <w:r w:rsidRPr="00AE5C8B">
              <w:rPr>
                <w:rFonts w:cs="Calibri"/>
                <w:b/>
              </w:rPr>
              <w:t>Academic Year</w:t>
            </w:r>
          </w:p>
        </w:tc>
        <w:tc>
          <w:tcPr>
            <w:tcW w:w="1276" w:type="dxa"/>
            <w:shd w:val="clear" w:color="auto" w:fill="auto"/>
            <w:tcMar>
              <w:top w:w="57" w:type="dxa"/>
              <w:bottom w:w="57" w:type="dxa"/>
            </w:tcMar>
          </w:tcPr>
          <w:p w14:paraId="0DE4D5D8" w14:textId="2B725DDD" w:rsidR="00AB67E5" w:rsidRPr="00AE5C8B" w:rsidRDefault="00AB67E5" w:rsidP="00E510AA">
            <w:pPr>
              <w:rPr>
                <w:rFonts w:cs="Calibri"/>
              </w:rPr>
            </w:pPr>
            <w:r w:rsidRPr="00AE5C8B">
              <w:rPr>
                <w:rFonts w:cs="Calibri"/>
              </w:rPr>
              <w:t>201</w:t>
            </w:r>
            <w:r w:rsidR="00F14720">
              <w:rPr>
                <w:rFonts w:cs="Calibri"/>
              </w:rPr>
              <w:t>9</w:t>
            </w:r>
            <w:r w:rsidRPr="00AE5C8B">
              <w:rPr>
                <w:rFonts w:cs="Calibri"/>
              </w:rPr>
              <w:t>/</w:t>
            </w:r>
            <w:r w:rsidR="00F14720">
              <w:rPr>
                <w:rFonts w:cs="Calibri"/>
              </w:rPr>
              <w:t>20</w:t>
            </w:r>
          </w:p>
        </w:tc>
        <w:tc>
          <w:tcPr>
            <w:tcW w:w="3632" w:type="dxa"/>
            <w:shd w:val="clear" w:color="auto" w:fill="auto"/>
          </w:tcPr>
          <w:p w14:paraId="1EEC7F76" w14:textId="77777777" w:rsidR="00AB67E5" w:rsidRPr="00AE5C8B" w:rsidRDefault="00AB67E5" w:rsidP="00E510AA">
            <w:pPr>
              <w:rPr>
                <w:rFonts w:cs="Calibri"/>
                <w:highlight w:val="yellow"/>
              </w:rPr>
            </w:pPr>
            <w:r w:rsidRPr="00AE5C8B">
              <w:rPr>
                <w:rFonts w:cs="Calibri"/>
                <w:b/>
              </w:rPr>
              <w:t>Total PP budget</w:t>
            </w:r>
          </w:p>
        </w:tc>
        <w:tc>
          <w:tcPr>
            <w:tcW w:w="1471" w:type="dxa"/>
            <w:shd w:val="clear" w:color="auto" w:fill="FFFFFF" w:themeFill="background1"/>
          </w:tcPr>
          <w:p w14:paraId="71E289FC" w14:textId="7DA9130E" w:rsidR="00AB67E5" w:rsidRPr="00912B17" w:rsidRDefault="00EA48B0" w:rsidP="00E510AA">
            <w:pPr>
              <w:rPr>
                <w:rFonts w:cs="Calibri"/>
                <w:highlight w:val="yellow"/>
              </w:rPr>
            </w:pPr>
            <w:r w:rsidRPr="00EA48B0">
              <w:rPr>
                <w:rFonts w:cs="Calibri"/>
              </w:rPr>
              <w:t>£148,940</w:t>
            </w:r>
          </w:p>
        </w:tc>
        <w:tc>
          <w:tcPr>
            <w:tcW w:w="4819" w:type="dxa"/>
            <w:shd w:val="clear" w:color="auto" w:fill="auto"/>
          </w:tcPr>
          <w:p w14:paraId="1AD48AA0" w14:textId="77777777" w:rsidR="00AB67E5" w:rsidRPr="00AE5C8B" w:rsidRDefault="00AB67E5" w:rsidP="00E510AA">
            <w:pPr>
              <w:rPr>
                <w:rFonts w:cs="Calibri"/>
              </w:rPr>
            </w:pPr>
            <w:r w:rsidRPr="00AE5C8B">
              <w:rPr>
                <w:rFonts w:cs="Calibri"/>
                <w:b/>
              </w:rPr>
              <w:t>Date of most recent PP Review</w:t>
            </w:r>
          </w:p>
        </w:tc>
        <w:tc>
          <w:tcPr>
            <w:tcW w:w="1559" w:type="dxa"/>
            <w:shd w:val="clear" w:color="auto" w:fill="auto"/>
          </w:tcPr>
          <w:p w14:paraId="66D6DC30" w14:textId="77777777" w:rsidR="00AB67E5" w:rsidRPr="00AE5C8B" w:rsidRDefault="00AB67E5" w:rsidP="00E510AA">
            <w:pPr>
              <w:rPr>
                <w:rFonts w:cs="Calibri"/>
              </w:rPr>
            </w:pPr>
            <w:r w:rsidRPr="00AE5C8B">
              <w:rPr>
                <w:rFonts w:cs="Calibri"/>
              </w:rPr>
              <w:t>17.01.19</w:t>
            </w:r>
          </w:p>
        </w:tc>
      </w:tr>
      <w:tr w:rsidR="00AB67E5" w:rsidRPr="00AE5C8B" w14:paraId="29CE1250" w14:textId="77777777" w:rsidTr="00E510AA">
        <w:tc>
          <w:tcPr>
            <w:tcW w:w="2660" w:type="dxa"/>
            <w:shd w:val="clear" w:color="auto" w:fill="auto"/>
            <w:tcMar>
              <w:top w:w="57" w:type="dxa"/>
              <w:bottom w:w="57" w:type="dxa"/>
            </w:tcMar>
          </w:tcPr>
          <w:p w14:paraId="6FDDBC6B" w14:textId="77777777" w:rsidR="00AB67E5" w:rsidRPr="00AE5C8B" w:rsidRDefault="00AB67E5" w:rsidP="00E510AA">
            <w:pPr>
              <w:rPr>
                <w:rFonts w:cs="Calibri"/>
              </w:rPr>
            </w:pPr>
            <w:r w:rsidRPr="00AE5C8B">
              <w:rPr>
                <w:rFonts w:cs="Calibri"/>
                <w:b/>
              </w:rPr>
              <w:t>Total number of pupils</w:t>
            </w:r>
          </w:p>
        </w:tc>
        <w:tc>
          <w:tcPr>
            <w:tcW w:w="1276" w:type="dxa"/>
            <w:shd w:val="clear" w:color="auto" w:fill="auto"/>
            <w:tcMar>
              <w:top w:w="57" w:type="dxa"/>
              <w:bottom w:w="57" w:type="dxa"/>
            </w:tcMar>
          </w:tcPr>
          <w:p w14:paraId="28923BAD" w14:textId="72A58899" w:rsidR="00AB67E5" w:rsidRPr="00AE5C8B" w:rsidRDefault="00EA48B0" w:rsidP="00E510AA">
            <w:pPr>
              <w:rPr>
                <w:rFonts w:cs="Calibri"/>
              </w:rPr>
            </w:pPr>
            <w:r>
              <w:rPr>
                <w:rFonts w:cs="Calibri"/>
              </w:rPr>
              <w:t>450</w:t>
            </w:r>
          </w:p>
        </w:tc>
        <w:tc>
          <w:tcPr>
            <w:tcW w:w="3632" w:type="dxa"/>
            <w:shd w:val="clear" w:color="auto" w:fill="auto"/>
          </w:tcPr>
          <w:p w14:paraId="0D08176B" w14:textId="77777777" w:rsidR="00AB67E5" w:rsidRPr="00AE5C8B" w:rsidRDefault="00AB67E5" w:rsidP="00E510AA">
            <w:pPr>
              <w:rPr>
                <w:rFonts w:cs="Calibri"/>
              </w:rPr>
            </w:pPr>
            <w:r w:rsidRPr="00AE5C8B">
              <w:rPr>
                <w:rFonts w:cs="Calibri"/>
                <w:b/>
              </w:rPr>
              <w:t>Number of pupils eligible for PP</w:t>
            </w:r>
          </w:p>
        </w:tc>
        <w:tc>
          <w:tcPr>
            <w:tcW w:w="1471" w:type="dxa"/>
            <w:shd w:val="clear" w:color="auto" w:fill="auto"/>
          </w:tcPr>
          <w:p w14:paraId="0A7726DC" w14:textId="7B40B0B4" w:rsidR="00AB67E5" w:rsidRPr="00AE5C8B" w:rsidRDefault="00EA48B0" w:rsidP="00E510AA">
            <w:pPr>
              <w:rPr>
                <w:rFonts w:cs="Calibri"/>
              </w:rPr>
            </w:pPr>
            <w:r>
              <w:rPr>
                <w:rFonts w:cs="Calibri"/>
              </w:rPr>
              <w:t>113</w:t>
            </w:r>
          </w:p>
        </w:tc>
        <w:tc>
          <w:tcPr>
            <w:tcW w:w="4819" w:type="dxa"/>
            <w:shd w:val="clear" w:color="auto" w:fill="auto"/>
          </w:tcPr>
          <w:p w14:paraId="181A883C" w14:textId="77777777" w:rsidR="00AB67E5" w:rsidRPr="00AE5C8B" w:rsidRDefault="00AB67E5" w:rsidP="00E510AA">
            <w:pPr>
              <w:rPr>
                <w:rFonts w:cs="Calibri"/>
              </w:rPr>
            </w:pPr>
            <w:r w:rsidRPr="00AE5C8B">
              <w:rPr>
                <w:rFonts w:cs="Calibri"/>
                <w:b/>
              </w:rPr>
              <w:t>Date for next internal review of this strategy</w:t>
            </w:r>
          </w:p>
        </w:tc>
        <w:tc>
          <w:tcPr>
            <w:tcW w:w="1559" w:type="dxa"/>
            <w:shd w:val="clear" w:color="auto" w:fill="auto"/>
          </w:tcPr>
          <w:p w14:paraId="4CE9361F" w14:textId="6163F922" w:rsidR="00AB67E5" w:rsidRPr="00AE5C8B" w:rsidRDefault="00F14720" w:rsidP="00E510AA">
            <w:pPr>
              <w:rPr>
                <w:rFonts w:cs="Calibri"/>
              </w:rPr>
            </w:pPr>
            <w:r>
              <w:rPr>
                <w:rFonts w:cs="Calibri"/>
              </w:rPr>
              <w:t>Septemb</w:t>
            </w:r>
            <w:r w:rsidR="00AB67E5" w:rsidRPr="00AE5C8B">
              <w:rPr>
                <w:rFonts w:cs="Calibri"/>
              </w:rPr>
              <w:t>er 20</w:t>
            </w:r>
            <w:r w:rsidR="00EA48B0">
              <w:rPr>
                <w:rFonts w:cs="Calibri"/>
              </w:rPr>
              <w:t>21</w:t>
            </w:r>
          </w:p>
        </w:tc>
      </w:tr>
      <w:tr w:rsidR="00AB67E5" w:rsidRPr="00AE5C8B" w14:paraId="16B25B8D" w14:textId="77777777" w:rsidTr="00E510AA">
        <w:tc>
          <w:tcPr>
            <w:tcW w:w="7568" w:type="dxa"/>
            <w:gridSpan w:val="3"/>
            <w:shd w:val="clear" w:color="auto" w:fill="auto"/>
            <w:tcMar>
              <w:top w:w="57" w:type="dxa"/>
              <w:bottom w:w="57" w:type="dxa"/>
            </w:tcMar>
          </w:tcPr>
          <w:p w14:paraId="61A152BD" w14:textId="77777777" w:rsidR="00AB67E5" w:rsidRPr="00AE5C8B" w:rsidRDefault="00AB67E5" w:rsidP="00E510AA">
            <w:pPr>
              <w:rPr>
                <w:rFonts w:cs="Calibri"/>
                <w:b/>
              </w:rPr>
            </w:pPr>
            <w:r w:rsidRPr="00AE5C8B">
              <w:rPr>
                <w:rFonts w:cs="Calibri"/>
                <w:b/>
              </w:rPr>
              <w:t>Total number of pupils eligible for PP in EYFS</w:t>
            </w:r>
          </w:p>
        </w:tc>
        <w:tc>
          <w:tcPr>
            <w:tcW w:w="1471" w:type="dxa"/>
            <w:shd w:val="clear" w:color="auto" w:fill="auto"/>
          </w:tcPr>
          <w:p w14:paraId="04F00809" w14:textId="3BFE8BAD" w:rsidR="00AB67E5" w:rsidRPr="00AE5C8B" w:rsidRDefault="00E0640E" w:rsidP="00E510AA">
            <w:pPr>
              <w:rPr>
                <w:rFonts w:cs="Calibri"/>
              </w:rPr>
            </w:pPr>
            <w:r>
              <w:rPr>
                <w:rFonts w:cs="Calibri"/>
              </w:rPr>
              <w:t>0</w:t>
            </w:r>
          </w:p>
        </w:tc>
        <w:tc>
          <w:tcPr>
            <w:tcW w:w="4819" w:type="dxa"/>
            <w:shd w:val="clear" w:color="auto" w:fill="auto"/>
          </w:tcPr>
          <w:p w14:paraId="0770FFEA" w14:textId="77777777" w:rsidR="00AB67E5" w:rsidRPr="00AE5C8B" w:rsidRDefault="00AB67E5" w:rsidP="00E510AA">
            <w:pPr>
              <w:rPr>
                <w:rFonts w:cs="Calibri"/>
                <w:b/>
              </w:rPr>
            </w:pPr>
            <w:r w:rsidRPr="00AE5C8B">
              <w:rPr>
                <w:rFonts w:cs="Calibri"/>
                <w:b/>
              </w:rPr>
              <w:t>Total EYFS PP budget</w:t>
            </w:r>
          </w:p>
        </w:tc>
        <w:tc>
          <w:tcPr>
            <w:tcW w:w="1559" w:type="dxa"/>
            <w:shd w:val="clear" w:color="auto" w:fill="auto"/>
          </w:tcPr>
          <w:p w14:paraId="151661CB" w14:textId="53178BB2" w:rsidR="00AB67E5" w:rsidRPr="00AE5C8B" w:rsidRDefault="00E0640E" w:rsidP="00E510AA">
            <w:pPr>
              <w:rPr>
                <w:rFonts w:cs="Calibri"/>
              </w:rPr>
            </w:pPr>
            <w:r>
              <w:rPr>
                <w:rFonts w:cs="Calibri"/>
              </w:rPr>
              <w:t>0</w:t>
            </w:r>
          </w:p>
        </w:tc>
      </w:tr>
    </w:tbl>
    <w:p w14:paraId="536EE98B" w14:textId="77777777" w:rsidR="00AB67E5" w:rsidRDefault="00AB67E5"/>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977"/>
        <w:gridCol w:w="2864"/>
        <w:gridCol w:w="1530"/>
      </w:tblGrid>
      <w:tr w:rsidR="00AB67E5" w:rsidRPr="00AE5C8B" w14:paraId="3101BEE4" w14:textId="77777777" w:rsidTr="00E510AA">
        <w:tc>
          <w:tcPr>
            <w:tcW w:w="15417" w:type="dxa"/>
            <w:gridSpan w:val="4"/>
            <w:shd w:val="clear" w:color="auto" w:fill="CCC0D9"/>
            <w:tcMar>
              <w:top w:w="57" w:type="dxa"/>
              <w:bottom w:w="57" w:type="dxa"/>
            </w:tcMar>
          </w:tcPr>
          <w:p w14:paraId="6102519C" w14:textId="12986F02" w:rsidR="00AB67E5" w:rsidRPr="00AE5C8B" w:rsidRDefault="00AB67E5" w:rsidP="00AB67E5">
            <w:pPr>
              <w:pStyle w:val="ListParagraph"/>
              <w:numPr>
                <w:ilvl w:val="0"/>
                <w:numId w:val="2"/>
              </w:numPr>
              <w:rPr>
                <w:rFonts w:cs="Calibri"/>
                <w:b/>
              </w:rPr>
            </w:pPr>
            <w:r w:rsidRPr="00AE5C8B">
              <w:rPr>
                <w:rFonts w:eastAsia="Arial" w:cs="Calibri"/>
                <w:b/>
              </w:rPr>
              <w:t>Achievement Profile 201</w:t>
            </w:r>
            <w:r w:rsidR="005B5102">
              <w:rPr>
                <w:rFonts w:eastAsia="Arial" w:cs="Calibri"/>
                <w:b/>
              </w:rPr>
              <w:t>8</w:t>
            </w:r>
            <w:r w:rsidRPr="00AE5C8B">
              <w:rPr>
                <w:rFonts w:eastAsia="Arial" w:cs="Calibri"/>
                <w:b/>
              </w:rPr>
              <w:t>/201</w:t>
            </w:r>
            <w:r w:rsidR="005B5102">
              <w:rPr>
                <w:rFonts w:eastAsia="Arial" w:cs="Calibri"/>
                <w:b/>
              </w:rPr>
              <w:t>9</w:t>
            </w:r>
          </w:p>
        </w:tc>
      </w:tr>
      <w:tr w:rsidR="00AA629A" w:rsidRPr="00AE5C8B" w14:paraId="5AFA40C6" w14:textId="77777777" w:rsidTr="00AA629A">
        <w:tc>
          <w:tcPr>
            <w:tcW w:w="8046" w:type="dxa"/>
            <w:shd w:val="clear" w:color="auto" w:fill="auto"/>
            <w:tcMar>
              <w:top w:w="57" w:type="dxa"/>
              <w:bottom w:w="57" w:type="dxa"/>
            </w:tcMar>
          </w:tcPr>
          <w:p w14:paraId="2B04F5EA" w14:textId="77777777" w:rsidR="00AA629A" w:rsidRPr="00AE5C8B" w:rsidRDefault="00AA629A" w:rsidP="00E510AA">
            <w:pPr>
              <w:rPr>
                <w:rFonts w:cs="Calibri"/>
              </w:rPr>
            </w:pPr>
          </w:p>
        </w:tc>
        <w:tc>
          <w:tcPr>
            <w:tcW w:w="2977" w:type="dxa"/>
            <w:shd w:val="clear" w:color="auto" w:fill="FFFFFF"/>
            <w:tcMar>
              <w:top w:w="57" w:type="dxa"/>
              <w:bottom w:w="57" w:type="dxa"/>
            </w:tcMar>
            <w:vAlign w:val="center"/>
          </w:tcPr>
          <w:p w14:paraId="785AD79D" w14:textId="5B80BC44" w:rsidR="00AA629A" w:rsidRPr="00AE5C8B" w:rsidRDefault="00AA629A" w:rsidP="00E510AA">
            <w:pPr>
              <w:jc w:val="center"/>
              <w:rPr>
                <w:rFonts w:cs="Calibri"/>
                <w:i/>
                <w:sz w:val="18"/>
                <w:szCs w:val="18"/>
              </w:rPr>
            </w:pPr>
            <w:r w:rsidRPr="00AE5C8B">
              <w:rPr>
                <w:rFonts w:cs="Calibri"/>
                <w:i/>
                <w:sz w:val="18"/>
                <w:szCs w:val="18"/>
              </w:rPr>
              <w:t>Pupils eligible for PP</w:t>
            </w:r>
            <w:r>
              <w:rPr>
                <w:rFonts w:cs="Calibri"/>
                <w:i/>
                <w:sz w:val="18"/>
                <w:szCs w:val="18"/>
              </w:rPr>
              <w:t>G</w:t>
            </w:r>
          </w:p>
        </w:tc>
        <w:tc>
          <w:tcPr>
            <w:tcW w:w="2864" w:type="dxa"/>
            <w:shd w:val="clear" w:color="auto" w:fill="F2F2F2"/>
            <w:tcMar>
              <w:top w:w="57" w:type="dxa"/>
              <w:bottom w:w="57" w:type="dxa"/>
            </w:tcMar>
            <w:vAlign w:val="center"/>
          </w:tcPr>
          <w:p w14:paraId="4B9AB79D" w14:textId="78F3E80E" w:rsidR="00AA629A" w:rsidRDefault="0071021C" w:rsidP="00E510AA">
            <w:pPr>
              <w:jc w:val="center"/>
              <w:rPr>
                <w:rFonts w:cs="Calibri"/>
                <w:i/>
                <w:sz w:val="18"/>
                <w:szCs w:val="18"/>
              </w:rPr>
            </w:pPr>
            <w:r>
              <w:rPr>
                <w:rFonts w:cs="Calibri"/>
                <w:i/>
                <w:sz w:val="18"/>
                <w:szCs w:val="18"/>
              </w:rPr>
              <w:t>National Benchmark</w:t>
            </w:r>
            <w:r w:rsidR="00A367A5">
              <w:rPr>
                <w:rFonts w:cs="Calibri"/>
                <w:i/>
                <w:sz w:val="18"/>
                <w:szCs w:val="18"/>
              </w:rPr>
              <w:t xml:space="preserve"> (</w:t>
            </w:r>
            <w:proofErr w:type="spellStart"/>
            <w:r w:rsidR="00A367A5">
              <w:rPr>
                <w:rFonts w:cs="Calibri"/>
                <w:i/>
                <w:sz w:val="18"/>
                <w:szCs w:val="18"/>
              </w:rPr>
              <w:t>non pupil</w:t>
            </w:r>
            <w:proofErr w:type="spellEnd"/>
            <w:r w:rsidR="00A367A5">
              <w:rPr>
                <w:rFonts w:cs="Calibri"/>
                <w:i/>
                <w:sz w:val="18"/>
                <w:szCs w:val="18"/>
              </w:rPr>
              <w:t xml:space="preserve"> premium)</w:t>
            </w:r>
          </w:p>
        </w:tc>
        <w:tc>
          <w:tcPr>
            <w:tcW w:w="1530" w:type="dxa"/>
            <w:shd w:val="clear" w:color="auto" w:fill="F2F2F2"/>
            <w:vAlign w:val="center"/>
          </w:tcPr>
          <w:p w14:paraId="500E986C" w14:textId="6A04160E" w:rsidR="00AA629A" w:rsidRPr="00AA629A" w:rsidRDefault="0071021C" w:rsidP="00E510AA">
            <w:pPr>
              <w:jc w:val="center"/>
              <w:rPr>
                <w:rFonts w:cs="Calibri"/>
                <w:i/>
              </w:rPr>
            </w:pPr>
            <w:r w:rsidRPr="0071021C">
              <w:rPr>
                <w:rFonts w:cs="Calibri"/>
                <w:i/>
                <w:sz w:val="18"/>
              </w:rPr>
              <w:t>Differential</w:t>
            </w:r>
          </w:p>
        </w:tc>
      </w:tr>
      <w:tr w:rsidR="00AA629A" w:rsidRPr="00AE5C8B" w14:paraId="702EB6BB" w14:textId="77777777" w:rsidTr="00AA629A">
        <w:tc>
          <w:tcPr>
            <w:tcW w:w="8046" w:type="dxa"/>
            <w:shd w:val="clear" w:color="auto" w:fill="auto"/>
            <w:tcMar>
              <w:top w:w="57" w:type="dxa"/>
              <w:bottom w:w="57" w:type="dxa"/>
            </w:tcMar>
          </w:tcPr>
          <w:p w14:paraId="4D93C817" w14:textId="77777777" w:rsidR="00AA629A" w:rsidRPr="00AE5C8B" w:rsidRDefault="00AA629A" w:rsidP="00E510AA">
            <w:pPr>
              <w:rPr>
                <w:rFonts w:cs="Calibri"/>
              </w:rPr>
            </w:pPr>
            <w:r w:rsidRPr="00AE5C8B">
              <w:rPr>
                <w:rFonts w:cs="Calibri"/>
              </w:rPr>
              <w:t>Year 1 - Phonics Screening Check:</w:t>
            </w:r>
          </w:p>
        </w:tc>
        <w:tc>
          <w:tcPr>
            <w:tcW w:w="2977" w:type="dxa"/>
            <w:shd w:val="clear" w:color="auto" w:fill="auto"/>
            <w:tcMar>
              <w:top w:w="57" w:type="dxa"/>
              <w:bottom w:w="57" w:type="dxa"/>
            </w:tcMar>
            <w:vAlign w:val="center"/>
          </w:tcPr>
          <w:p w14:paraId="3970043B" w14:textId="1697BE14" w:rsidR="00AA629A" w:rsidRPr="00F14720" w:rsidRDefault="00AA629A" w:rsidP="00E510AA">
            <w:pPr>
              <w:jc w:val="center"/>
              <w:rPr>
                <w:rFonts w:cs="Calibri"/>
                <w:highlight w:val="magenta"/>
              </w:rPr>
            </w:pPr>
            <w:r w:rsidRPr="003304AC">
              <w:rPr>
                <w:rFonts w:cs="Calibri"/>
              </w:rPr>
              <w:t>47%</w:t>
            </w:r>
          </w:p>
        </w:tc>
        <w:tc>
          <w:tcPr>
            <w:tcW w:w="2864" w:type="dxa"/>
            <w:shd w:val="clear" w:color="auto" w:fill="F2F2F2"/>
            <w:tcMar>
              <w:top w:w="57" w:type="dxa"/>
              <w:bottom w:w="57" w:type="dxa"/>
            </w:tcMar>
            <w:vAlign w:val="center"/>
          </w:tcPr>
          <w:p w14:paraId="22D8AFAA" w14:textId="08B71052" w:rsidR="00AA629A" w:rsidRPr="00AE5C8B" w:rsidRDefault="00A367A5" w:rsidP="00E510AA">
            <w:pPr>
              <w:jc w:val="center"/>
              <w:rPr>
                <w:rFonts w:cs="Calibri"/>
              </w:rPr>
            </w:pPr>
            <w:r>
              <w:rPr>
                <w:rFonts w:cs="Calibri"/>
              </w:rPr>
              <w:t>TBC</w:t>
            </w:r>
          </w:p>
        </w:tc>
        <w:tc>
          <w:tcPr>
            <w:tcW w:w="1530" w:type="dxa"/>
            <w:shd w:val="clear" w:color="auto" w:fill="F2F2F2"/>
            <w:vAlign w:val="center"/>
          </w:tcPr>
          <w:p w14:paraId="195F182A" w14:textId="72222454" w:rsidR="00AA629A" w:rsidRPr="00AE5C8B" w:rsidRDefault="00AA629A" w:rsidP="00E510AA">
            <w:pPr>
              <w:jc w:val="center"/>
              <w:rPr>
                <w:rFonts w:cs="Calibri"/>
              </w:rPr>
            </w:pPr>
          </w:p>
        </w:tc>
      </w:tr>
      <w:tr w:rsidR="00AA629A" w:rsidRPr="00AE5C8B" w14:paraId="3409F5F7" w14:textId="77777777" w:rsidTr="00AA629A">
        <w:tc>
          <w:tcPr>
            <w:tcW w:w="8046" w:type="dxa"/>
            <w:shd w:val="clear" w:color="auto" w:fill="auto"/>
            <w:tcMar>
              <w:top w:w="57" w:type="dxa"/>
              <w:bottom w:w="57" w:type="dxa"/>
            </w:tcMar>
          </w:tcPr>
          <w:p w14:paraId="4B251BF8" w14:textId="77777777" w:rsidR="00AA629A" w:rsidRPr="00AE5C8B" w:rsidRDefault="00AA629A" w:rsidP="00E510AA">
            <w:pPr>
              <w:rPr>
                <w:rFonts w:cs="Calibri"/>
              </w:rPr>
            </w:pPr>
            <w:r w:rsidRPr="00AE5C8B">
              <w:rPr>
                <w:rFonts w:cs="Calibri"/>
              </w:rPr>
              <w:t xml:space="preserve">Year 2 – Phonics Re-check: </w:t>
            </w:r>
          </w:p>
        </w:tc>
        <w:tc>
          <w:tcPr>
            <w:tcW w:w="2977" w:type="dxa"/>
            <w:shd w:val="clear" w:color="auto" w:fill="auto"/>
            <w:tcMar>
              <w:top w:w="57" w:type="dxa"/>
              <w:bottom w:w="57" w:type="dxa"/>
            </w:tcMar>
            <w:vAlign w:val="center"/>
          </w:tcPr>
          <w:p w14:paraId="69AED2A1" w14:textId="5663C64D" w:rsidR="00AA629A" w:rsidRPr="00F14720" w:rsidRDefault="00AA629A" w:rsidP="00E510AA">
            <w:pPr>
              <w:jc w:val="center"/>
              <w:rPr>
                <w:rFonts w:cs="Calibri"/>
                <w:highlight w:val="magenta"/>
              </w:rPr>
            </w:pPr>
            <w:r w:rsidRPr="003304AC">
              <w:rPr>
                <w:rFonts w:cs="Calibri"/>
              </w:rPr>
              <w:t>92%</w:t>
            </w:r>
          </w:p>
        </w:tc>
        <w:tc>
          <w:tcPr>
            <w:tcW w:w="2864" w:type="dxa"/>
            <w:shd w:val="clear" w:color="auto" w:fill="F2F2F2"/>
            <w:tcMar>
              <w:top w:w="57" w:type="dxa"/>
              <w:bottom w:w="57" w:type="dxa"/>
            </w:tcMar>
            <w:vAlign w:val="center"/>
          </w:tcPr>
          <w:p w14:paraId="2A007AAD" w14:textId="4D12A2F2" w:rsidR="00AA629A" w:rsidRPr="00AE5C8B" w:rsidRDefault="00A367A5" w:rsidP="00E510AA">
            <w:pPr>
              <w:jc w:val="center"/>
              <w:rPr>
                <w:rFonts w:cs="Calibri"/>
              </w:rPr>
            </w:pPr>
            <w:r>
              <w:rPr>
                <w:rFonts w:cs="Calibri"/>
              </w:rPr>
              <w:t>TBC</w:t>
            </w:r>
          </w:p>
        </w:tc>
        <w:tc>
          <w:tcPr>
            <w:tcW w:w="1530" w:type="dxa"/>
            <w:shd w:val="clear" w:color="auto" w:fill="F2F2F2"/>
            <w:vAlign w:val="center"/>
          </w:tcPr>
          <w:p w14:paraId="72D36D03" w14:textId="02419BBE" w:rsidR="00AA629A" w:rsidRPr="00AE5C8B" w:rsidRDefault="00AA629A" w:rsidP="00E510AA">
            <w:pPr>
              <w:jc w:val="center"/>
              <w:rPr>
                <w:rFonts w:cs="Calibri"/>
              </w:rPr>
            </w:pPr>
          </w:p>
        </w:tc>
      </w:tr>
      <w:tr w:rsidR="00AB67E5" w:rsidRPr="00AE5C8B" w14:paraId="2A6C212C" w14:textId="77777777" w:rsidTr="00E510AA">
        <w:tc>
          <w:tcPr>
            <w:tcW w:w="8046" w:type="dxa"/>
            <w:shd w:val="clear" w:color="auto" w:fill="auto"/>
            <w:tcMar>
              <w:top w:w="57" w:type="dxa"/>
              <w:bottom w:w="57" w:type="dxa"/>
            </w:tcMar>
          </w:tcPr>
          <w:p w14:paraId="7D2DD187" w14:textId="77777777" w:rsidR="00AB67E5" w:rsidRPr="00AE5C8B" w:rsidRDefault="00AB67E5" w:rsidP="00E510AA">
            <w:pPr>
              <w:rPr>
                <w:rFonts w:cs="Calibri"/>
                <w:b/>
              </w:rPr>
            </w:pPr>
            <w:r w:rsidRPr="00AE5C8B">
              <w:rPr>
                <w:rFonts w:cs="Calibri"/>
                <w:b/>
              </w:rPr>
              <w:t>Key Stage 1: Attainment</w:t>
            </w:r>
          </w:p>
        </w:tc>
        <w:tc>
          <w:tcPr>
            <w:tcW w:w="2977" w:type="dxa"/>
            <w:shd w:val="clear" w:color="auto" w:fill="000000"/>
            <w:tcMar>
              <w:top w:w="57" w:type="dxa"/>
              <w:bottom w:w="57" w:type="dxa"/>
            </w:tcMar>
            <w:vAlign w:val="center"/>
          </w:tcPr>
          <w:p w14:paraId="61CC2F36" w14:textId="77777777" w:rsidR="00AB67E5" w:rsidRPr="00F14720" w:rsidRDefault="00AB67E5" w:rsidP="00E510AA">
            <w:pPr>
              <w:jc w:val="center"/>
              <w:rPr>
                <w:rFonts w:cs="Calibri"/>
                <w:highlight w:val="magenta"/>
              </w:rPr>
            </w:pPr>
          </w:p>
        </w:tc>
        <w:tc>
          <w:tcPr>
            <w:tcW w:w="4394" w:type="dxa"/>
            <w:gridSpan w:val="2"/>
            <w:shd w:val="clear" w:color="auto" w:fill="000000"/>
            <w:tcMar>
              <w:top w:w="57" w:type="dxa"/>
              <w:bottom w:w="57" w:type="dxa"/>
            </w:tcMar>
            <w:vAlign w:val="center"/>
          </w:tcPr>
          <w:p w14:paraId="713C1E87" w14:textId="77777777" w:rsidR="00AB67E5" w:rsidRPr="00AE5C8B" w:rsidRDefault="00AB67E5" w:rsidP="00E510AA">
            <w:pPr>
              <w:jc w:val="center"/>
              <w:rPr>
                <w:rFonts w:cs="Calibri"/>
              </w:rPr>
            </w:pPr>
          </w:p>
        </w:tc>
      </w:tr>
      <w:tr w:rsidR="00AA629A" w:rsidRPr="00AE5C8B" w14:paraId="7353952A" w14:textId="77777777" w:rsidTr="00C92490">
        <w:tc>
          <w:tcPr>
            <w:tcW w:w="8046" w:type="dxa"/>
            <w:shd w:val="clear" w:color="auto" w:fill="auto"/>
            <w:tcMar>
              <w:top w:w="57" w:type="dxa"/>
              <w:bottom w:w="57" w:type="dxa"/>
            </w:tcMar>
          </w:tcPr>
          <w:p w14:paraId="11415FD7" w14:textId="77777777" w:rsidR="00AA629A" w:rsidRPr="00AE5C8B" w:rsidRDefault="00AA629A" w:rsidP="00E510AA">
            <w:pPr>
              <w:rPr>
                <w:rFonts w:cs="Calibri"/>
              </w:rPr>
            </w:pPr>
            <w:r w:rsidRPr="00AE5C8B">
              <w:rPr>
                <w:rFonts w:cs="Calibri"/>
              </w:rPr>
              <w:t>% achieving ‘expected’ in reading</w:t>
            </w:r>
          </w:p>
        </w:tc>
        <w:tc>
          <w:tcPr>
            <w:tcW w:w="2977" w:type="dxa"/>
            <w:shd w:val="clear" w:color="auto" w:fill="FFFFFF"/>
            <w:tcMar>
              <w:top w:w="57" w:type="dxa"/>
              <w:bottom w:w="57" w:type="dxa"/>
            </w:tcMar>
            <w:vAlign w:val="center"/>
          </w:tcPr>
          <w:p w14:paraId="14068031" w14:textId="7EF6D580" w:rsidR="00AA629A" w:rsidRPr="00EA48B0" w:rsidRDefault="00AA629A" w:rsidP="00E510AA">
            <w:pPr>
              <w:jc w:val="center"/>
              <w:rPr>
                <w:rFonts w:cs="Calibri"/>
              </w:rPr>
            </w:pPr>
            <w:r>
              <w:rPr>
                <w:rFonts w:cs="Calibri"/>
              </w:rPr>
              <w:t>71%</w:t>
            </w:r>
          </w:p>
        </w:tc>
        <w:tc>
          <w:tcPr>
            <w:tcW w:w="2864" w:type="dxa"/>
            <w:shd w:val="clear" w:color="auto" w:fill="F2F2F2"/>
            <w:tcMar>
              <w:top w:w="57" w:type="dxa"/>
              <w:bottom w:w="57" w:type="dxa"/>
            </w:tcMar>
            <w:vAlign w:val="center"/>
          </w:tcPr>
          <w:p w14:paraId="1047934D" w14:textId="126177C8" w:rsidR="00AA629A" w:rsidRPr="00AE5C8B" w:rsidRDefault="00A367A5" w:rsidP="00E510AA">
            <w:pPr>
              <w:jc w:val="center"/>
              <w:rPr>
                <w:rFonts w:cs="Calibri"/>
              </w:rPr>
            </w:pPr>
            <w:r>
              <w:rPr>
                <w:rFonts w:cs="Calibri"/>
              </w:rPr>
              <w:t>TBC</w:t>
            </w:r>
          </w:p>
        </w:tc>
        <w:tc>
          <w:tcPr>
            <w:tcW w:w="1530" w:type="dxa"/>
            <w:shd w:val="clear" w:color="auto" w:fill="F2F2F2"/>
            <w:vAlign w:val="center"/>
          </w:tcPr>
          <w:p w14:paraId="58709D68" w14:textId="12DBAB4E" w:rsidR="00AA629A" w:rsidRPr="00AE5C8B" w:rsidRDefault="00AA629A" w:rsidP="00E510AA">
            <w:pPr>
              <w:jc w:val="center"/>
              <w:rPr>
                <w:rFonts w:cs="Calibri"/>
              </w:rPr>
            </w:pPr>
          </w:p>
        </w:tc>
      </w:tr>
      <w:tr w:rsidR="00C92490" w:rsidRPr="00AE5C8B" w14:paraId="7408B2FB" w14:textId="77777777" w:rsidTr="00C92490">
        <w:tc>
          <w:tcPr>
            <w:tcW w:w="8046" w:type="dxa"/>
            <w:shd w:val="clear" w:color="auto" w:fill="auto"/>
            <w:tcMar>
              <w:top w:w="57" w:type="dxa"/>
              <w:bottom w:w="57" w:type="dxa"/>
            </w:tcMar>
          </w:tcPr>
          <w:p w14:paraId="688E6C29" w14:textId="77777777" w:rsidR="00C92490" w:rsidRPr="00AE5C8B" w:rsidRDefault="00C92490" w:rsidP="00E510AA">
            <w:pPr>
              <w:rPr>
                <w:rFonts w:cs="Calibri"/>
              </w:rPr>
            </w:pPr>
            <w:r w:rsidRPr="00AE5C8B">
              <w:rPr>
                <w:rFonts w:cs="Calibri"/>
              </w:rPr>
              <w:t>% achieving ‘expected’ in writing</w:t>
            </w:r>
          </w:p>
        </w:tc>
        <w:tc>
          <w:tcPr>
            <w:tcW w:w="2977" w:type="dxa"/>
            <w:shd w:val="clear" w:color="auto" w:fill="FFFFFF"/>
            <w:tcMar>
              <w:top w:w="57" w:type="dxa"/>
              <w:bottom w:w="57" w:type="dxa"/>
            </w:tcMar>
            <w:vAlign w:val="center"/>
          </w:tcPr>
          <w:p w14:paraId="3AD83D22" w14:textId="5E697D91" w:rsidR="00C92490" w:rsidRPr="00EA48B0" w:rsidRDefault="00C92490" w:rsidP="00E510AA">
            <w:pPr>
              <w:jc w:val="center"/>
              <w:rPr>
                <w:rFonts w:cs="Calibri"/>
              </w:rPr>
            </w:pPr>
            <w:r>
              <w:rPr>
                <w:rFonts w:cs="Calibri"/>
              </w:rPr>
              <w:t>61%</w:t>
            </w:r>
          </w:p>
        </w:tc>
        <w:tc>
          <w:tcPr>
            <w:tcW w:w="2864" w:type="dxa"/>
            <w:shd w:val="clear" w:color="auto" w:fill="F2F2F2"/>
            <w:tcMar>
              <w:top w:w="57" w:type="dxa"/>
              <w:bottom w:w="57" w:type="dxa"/>
            </w:tcMar>
            <w:vAlign w:val="center"/>
          </w:tcPr>
          <w:p w14:paraId="12E1C008" w14:textId="0FF7D6B9" w:rsidR="00C92490" w:rsidRPr="00AE5C8B" w:rsidRDefault="00A367A5" w:rsidP="00E510AA">
            <w:pPr>
              <w:jc w:val="center"/>
              <w:rPr>
                <w:rFonts w:cs="Calibri"/>
              </w:rPr>
            </w:pPr>
            <w:r>
              <w:rPr>
                <w:rFonts w:cs="Calibri"/>
              </w:rPr>
              <w:t>TBC</w:t>
            </w:r>
          </w:p>
        </w:tc>
        <w:tc>
          <w:tcPr>
            <w:tcW w:w="1530" w:type="dxa"/>
            <w:shd w:val="clear" w:color="auto" w:fill="F2F2F2"/>
            <w:vAlign w:val="center"/>
          </w:tcPr>
          <w:p w14:paraId="14AE0BD5" w14:textId="3EB723B6" w:rsidR="00C92490" w:rsidRPr="00AE5C8B" w:rsidRDefault="00C92490" w:rsidP="00E510AA">
            <w:pPr>
              <w:jc w:val="center"/>
              <w:rPr>
                <w:rFonts w:cs="Calibri"/>
              </w:rPr>
            </w:pPr>
          </w:p>
        </w:tc>
      </w:tr>
      <w:tr w:rsidR="00C92490" w:rsidRPr="00AE5C8B" w14:paraId="50ED898C" w14:textId="77777777" w:rsidTr="00C92490">
        <w:tc>
          <w:tcPr>
            <w:tcW w:w="8046" w:type="dxa"/>
            <w:shd w:val="clear" w:color="auto" w:fill="auto"/>
            <w:tcMar>
              <w:top w:w="57" w:type="dxa"/>
              <w:bottom w:w="57" w:type="dxa"/>
            </w:tcMar>
          </w:tcPr>
          <w:p w14:paraId="0CC747C4" w14:textId="77777777" w:rsidR="00C92490" w:rsidRPr="00AE5C8B" w:rsidRDefault="00C92490" w:rsidP="00E510AA">
            <w:pPr>
              <w:rPr>
                <w:rFonts w:cs="Calibri"/>
              </w:rPr>
            </w:pPr>
            <w:r w:rsidRPr="00AE5C8B">
              <w:rPr>
                <w:rFonts w:cs="Calibri"/>
              </w:rPr>
              <w:t>% achieving ‘expected’ in maths</w:t>
            </w:r>
          </w:p>
        </w:tc>
        <w:tc>
          <w:tcPr>
            <w:tcW w:w="2977" w:type="dxa"/>
            <w:shd w:val="clear" w:color="auto" w:fill="FFFFFF"/>
            <w:tcMar>
              <w:top w:w="57" w:type="dxa"/>
              <w:bottom w:w="57" w:type="dxa"/>
            </w:tcMar>
            <w:vAlign w:val="center"/>
          </w:tcPr>
          <w:p w14:paraId="5418D1FD" w14:textId="40EBC6A8" w:rsidR="00C92490" w:rsidRPr="00EA48B0" w:rsidRDefault="00C92490" w:rsidP="00EA48B0">
            <w:pPr>
              <w:jc w:val="center"/>
              <w:rPr>
                <w:rFonts w:cs="Calibri"/>
              </w:rPr>
            </w:pPr>
            <w:r>
              <w:rPr>
                <w:rFonts w:cs="Calibri"/>
              </w:rPr>
              <w:t>71%</w:t>
            </w:r>
          </w:p>
        </w:tc>
        <w:tc>
          <w:tcPr>
            <w:tcW w:w="2864" w:type="dxa"/>
            <w:shd w:val="clear" w:color="auto" w:fill="F2F2F2"/>
            <w:tcMar>
              <w:top w:w="57" w:type="dxa"/>
              <w:bottom w:w="57" w:type="dxa"/>
            </w:tcMar>
            <w:vAlign w:val="center"/>
          </w:tcPr>
          <w:p w14:paraId="287CD632" w14:textId="78F64D0D" w:rsidR="00C92490" w:rsidRPr="00AE5C8B" w:rsidRDefault="00A367A5" w:rsidP="00E510AA">
            <w:pPr>
              <w:jc w:val="center"/>
              <w:rPr>
                <w:rFonts w:cs="Calibri"/>
              </w:rPr>
            </w:pPr>
            <w:r>
              <w:rPr>
                <w:rFonts w:cs="Calibri"/>
              </w:rPr>
              <w:t>TBC</w:t>
            </w:r>
          </w:p>
        </w:tc>
        <w:tc>
          <w:tcPr>
            <w:tcW w:w="1530" w:type="dxa"/>
            <w:shd w:val="clear" w:color="auto" w:fill="F2F2F2"/>
            <w:vAlign w:val="center"/>
          </w:tcPr>
          <w:p w14:paraId="573CC20E" w14:textId="0B85D659" w:rsidR="00C92490" w:rsidRPr="00AE5C8B" w:rsidRDefault="00C92490" w:rsidP="00E510AA">
            <w:pPr>
              <w:jc w:val="center"/>
              <w:rPr>
                <w:rFonts w:cs="Calibri"/>
              </w:rPr>
            </w:pPr>
          </w:p>
        </w:tc>
      </w:tr>
      <w:tr w:rsidR="00C92490" w:rsidRPr="00AE5C8B" w14:paraId="691EF624" w14:textId="77777777" w:rsidTr="00C92490">
        <w:tc>
          <w:tcPr>
            <w:tcW w:w="8046" w:type="dxa"/>
            <w:shd w:val="clear" w:color="auto" w:fill="auto"/>
            <w:tcMar>
              <w:top w:w="57" w:type="dxa"/>
              <w:bottom w:w="57" w:type="dxa"/>
            </w:tcMar>
          </w:tcPr>
          <w:p w14:paraId="43C2A05E" w14:textId="77777777" w:rsidR="00C92490" w:rsidRPr="00AE5C8B" w:rsidRDefault="00C92490" w:rsidP="00E510AA">
            <w:pPr>
              <w:rPr>
                <w:rFonts w:eastAsia="Arial" w:cs="Calibri"/>
                <w:bCs/>
              </w:rPr>
            </w:pPr>
            <w:r w:rsidRPr="00AE5C8B">
              <w:rPr>
                <w:rFonts w:eastAsia="Arial" w:cs="Calibri"/>
                <w:bCs/>
              </w:rPr>
              <w:t>% achieving ‘greater depth’ in reading</w:t>
            </w:r>
          </w:p>
        </w:tc>
        <w:tc>
          <w:tcPr>
            <w:tcW w:w="2977" w:type="dxa"/>
            <w:shd w:val="clear" w:color="auto" w:fill="FFFFFF"/>
            <w:tcMar>
              <w:top w:w="57" w:type="dxa"/>
              <w:bottom w:w="57" w:type="dxa"/>
            </w:tcMar>
            <w:vAlign w:val="center"/>
          </w:tcPr>
          <w:p w14:paraId="1C8F0E31" w14:textId="3030EE5A" w:rsidR="00C92490" w:rsidRPr="00EA48B0" w:rsidRDefault="00C92490" w:rsidP="00E510AA">
            <w:pPr>
              <w:jc w:val="center"/>
              <w:rPr>
                <w:rFonts w:cs="Calibri"/>
              </w:rPr>
            </w:pPr>
            <w:r>
              <w:rPr>
                <w:rFonts w:cs="Calibri"/>
              </w:rPr>
              <w:t>0%</w:t>
            </w:r>
          </w:p>
        </w:tc>
        <w:tc>
          <w:tcPr>
            <w:tcW w:w="2864" w:type="dxa"/>
            <w:shd w:val="clear" w:color="auto" w:fill="F2F2F2"/>
            <w:tcMar>
              <w:top w:w="57" w:type="dxa"/>
              <w:bottom w:w="57" w:type="dxa"/>
            </w:tcMar>
            <w:vAlign w:val="center"/>
          </w:tcPr>
          <w:p w14:paraId="1478B8FD" w14:textId="7721E4EF" w:rsidR="00C92490" w:rsidRPr="00AE5C8B" w:rsidRDefault="00A367A5" w:rsidP="00E510AA">
            <w:pPr>
              <w:jc w:val="center"/>
              <w:rPr>
                <w:rFonts w:cs="Calibri"/>
              </w:rPr>
            </w:pPr>
            <w:r>
              <w:rPr>
                <w:rFonts w:cs="Calibri"/>
              </w:rPr>
              <w:t>TBC</w:t>
            </w:r>
          </w:p>
        </w:tc>
        <w:tc>
          <w:tcPr>
            <w:tcW w:w="1530" w:type="dxa"/>
            <w:shd w:val="clear" w:color="auto" w:fill="F2F2F2"/>
            <w:vAlign w:val="center"/>
          </w:tcPr>
          <w:p w14:paraId="372031B0" w14:textId="260121C1" w:rsidR="00C92490" w:rsidRPr="00AE5C8B" w:rsidRDefault="00C92490" w:rsidP="00E510AA">
            <w:pPr>
              <w:jc w:val="center"/>
              <w:rPr>
                <w:rFonts w:cs="Calibri"/>
              </w:rPr>
            </w:pPr>
          </w:p>
        </w:tc>
      </w:tr>
      <w:tr w:rsidR="00C92490" w:rsidRPr="00AE5C8B" w14:paraId="13482440" w14:textId="77777777" w:rsidTr="00C92490">
        <w:tc>
          <w:tcPr>
            <w:tcW w:w="8046" w:type="dxa"/>
            <w:shd w:val="clear" w:color="auto" w:fill="auto"/>
            <w:tcMar>
              <w:top w:w="57" w:type="dxa"/>
              <w:bottom w:w="57" w:type="dxa"/>
            </w:tcMar>
          </w:tcPr>
          <w:p w14:paraId="63D5AEAC" w14:textId="77777777" w:rsidR="00C92490" w:rsidRPr="00AE5C8B" w:rsidRDefault="00C92490" w:rsidP="00E510AA">
            <w:pPr>
              <w:rPr>
                <w:rFonts w:eastAsia="Arial" w:cs="Calibri"/>
                <w:bCs/>
              </w:rPr>
            </w:pPr>
            <w:r w:rsidRPr="00AE5C8B">
              <w:rPr>
                <w:rFonts w:cs="Calibri"/>
              </w:rPr>
              <w:t>% achieving ‘greater depth’ in writing</w:t>
            </w:r>
          </w:p>
        </w:tc>
        <w:tc>
          <w:tcPr>
            <w:tcW w:w="2977" w:type="dxa"/>
            <w:shd w:val="clear" w:color="auto" w:fill="FFFFFF"/>
            <w:tcMar>
              <w:top w:w="57" w:type="dxa"/>
              <w:bottom w:w="57" w:type="dxa"/>
            </w:tcMar>
            <w:vAlign w:val="center"/>
          </w:tcPr>
          <w:p w14:paraId="179AF665" w14:textId="6034CBEF" w:rsidR="00C92490" w:rsidRPr="00EA48B0" w:rsidRDefault="00C92490" w:rsidP="00E510AA">
            <w:pPr>
              <w:jc w:val="center"/>
              <w:rPr>
                <w:rFonts w:cs="Calibri"/>
              </w:rPr>
            </w:pPr>
            <w:r>
              <w:rPr>
                <w:rFonts w:cs="Calibri"/>
              </w:rPr>
              <w:t>0%</w:t>
            </w:r>
          </w:p>
        </w:tc>
        <w:tc>
          <w:tcPr>
            <w:tcW w:w="2864" w:type="dxa"/>
            <w:shd w:val="clear" w:color="auto" w:fill="F2F2F2"/>
            <w:tcMar>
              <w:top w:w="57" w:type="dxa"/>
              <w:bottom w:w="57" w:type="dxa"/>
            </w:tcMar>
            <w:vAlign w:val="center"/>
          </w:tcPr>
          <w:p w14:paraId="7F49C74A" w14:textId="62EB86CE" w:rsidR="00C92490" w:rsidRPr="00AE5C8B" w:rsidRDefault="00A367A5" w:rsidP="00E510AA">
            <w:pPr>
              <w:jc w:val="center"/>
              <w:rPr>
                <w:rFonts w:cs="Calibri"/>
              </w:rPr>
            </w:pPr>
            <w:r>
              <w:rPr>
                <w:rFonts w:cs="Calibri"/>
              </w:rPr>
              <w:t>TBC</w:t>
            </w:r>
          </w:p>
        </w:tc>
        <w:tc>
          <w:tcPr>
            <w:tcW w:w="1530" w:type="dxa"/>
            <w:shd w:val="clear" w:color="auto" w:fill="F2F2F2"/>
            <w:vAlign w:val="center"/>
          </w:tcPr>
          <w:p w14:paraId="2EEB4879" w14:textId="590DBE48" w:rsidR="00C92490" w:rsidRPr="00AE5C8B" w:rsidRDefault="00C92490" w:rsidP="00E510AA">
            <w:pPr>
              <w:jc w:val="center"/>
              <w:rPr>
                <w:rFonts w:cs="Calibri"/>
              </w:rPr>
            </w:pPr>
          </w:p>
        </w:tc>
      </w:tr>
      <w:tr w:rsidR="00C92490" w:rsidRPr="00AE5C8B" w14:paraId="0BE5A877" w14:textId="77777777" w:rsidTr="00C92490">
        <w:tc>
          <w:tcPr>
            <w:tcW w:w="8046" w:type="dxa"/>
            <w:shd w:val="clear" w:color="auto" w:fill="auto"/>
            <w:tcMar>
              <w:top w:w="57" w:type="dxa"/>
              <w:bottom w:w="57" w:type="dxa"/>
            </w:tcMar>
          </w:tcPr>
          <w:p w14:paraId="51A35A01" w14:textId="77777777" w:rsidR="00C92490" w:rsidRPr="00AE5C8B" w:rsidRDefault="00C92490" w:rsidP="00E510AA">
            <w:pPr>
              <w:rPr>
                <w:rFonts w:eastAsia="Arial" w:cs="Calibri"/>
                <w:bCs/>
              </w:rPr>
            </w:pPr>
            <w:r w:rsidRPr="00AE5C8B">
              <w:rPr>
                <w:rFonts w:cs="Calibri"/>
              </w:rPr>
              <w:t>% achieving ‘greater depth’ in maths</w:t>
            </w:r>
          </w:p>
        </w:tc>
        <w:tc>
          <w:tcPr>
            <w:tcW w:w="2977" w:type="dxa"/>
            <w:shd w:val="clear" w:color="auto" w:fill="FFFFFF"/>
            <w:tcMar>
              <w:top w:w="57" w:type="dxa"/>
              <w:bottom w:w="57" w:type="dxa"/>
            </w:tcMar>
            <w:vAlign w:val="center"/>
          </w:tcPr>
          <w:p w14:paraId="02C0BF65" w14:textId="64807679" w:rsidR="00C92490" w:rsidRPr="00EA48B0" w:rsidRDefault="00C92490" w:rsidP="00EA48B0">
            <w:pPr>
              <w:jc w:val="center"/>
              <w:rPr>
                <w:rFonts w:cs="Calibri"/>
              </w:rPr>
            </w:pPr>
            <w:r>
              <w:rPr>
                <w:rFonts w:cs="Calibri"/>
              </w:rPr>
              <w:t>0%</w:t>
            </w:r>
          </w:p>
        </w:tc>
        <w:tc>
          <w:tcPr>
            <w:tcW w:w="2864" w:type="dxa"/>
            <w:shd w:val="clear" w:color="auto" w:fill="F2F2F2"/>
            <w:tcMar>
              <w:top w:w="57" w:type="dxa"/>
              <w:bottom w:w="57" w:type="dxa"/>
            </w:tcMar>
            <w:vAlign w:val="center"/>
          </w:tcPr>
          <w:p w14:paraId="7CF405C7" w14:textId="0A9855D9" w:rsidR="00C92490" w:rsidRPr="00AE5C8B" w:rsidRDefault="00A367A5" w:rsidP="00E510AA">
            <w:pPr>
              <w:jc w:val="center"/>
              <w:rPr>
                <w:rFonts w:cs="Calibri"/>
              </w:rPr>
            </w:pPr>
            <w:r>
              <w:rPr>
                <w:rFonts w:cs="Calibri"/>
              </w:rPr>
              <w:t>TBC</w:t>
            </w:r>
          </w:p>
        </w:tc>
        <w:tc>
          <w:tcPr>
            <w:tcW w:w="1530" w:type="dxa"/>
            <w:shd w:val="clear" w:color="auto" w:fill="F2F2F2"/>
            <w:vAlign w:val="center"/>
          </w:tcPr>
          <w:p w14:paraId="377B2FCD" w14:textId="2F341AC7" w:rsidR="00C92490" w:rsidRPr="00AE5C8B" w:rsidRDefault="00C92490" w:rsidP="00E510AA">
            <w:pPr>
              <w:jc w:val="center"/>
              <w:rPr>
                <w:rFonts w:cs="Calibri"/>
              </w:rPr>
            </w:pPr>
          </w:p>
        </w:tc>
      </w:tr>
      <w:tr w:rsidR="00AB67E5" w:rsidRPr="00AE5C8B" w14:paraId="193AF8C3" w14:textId="77777777" w:rsidTr="00E510AA">
        <w:tc>
          <w:tcPr>
            <w:tcW w:w="8046" w:type="dxa"/>
            <w:shd w:val="clear" w:color="auto" w:fill="auto"/>
            <w:tcMar>
              <w:top w:w="57" w:type="dxa"/>
              <w:bottom w:w="57" w:type="dxa"/>
            </w:tcMar>
          </w:tcPr>
          <w:p w14:paraId="047C914F" w14:textId="77777777" w:rsidR="00AB67E5" w:rsidRPr="00AE5C8B" w:rsidRDefault="00AB67E5" w:rsidP="00E510AA">
            <w:pPr>
              <w:rPr>
                <w:rFonts w:cs="Calibri"/>
                <w:b/>
              </w:rPr>
            </w:pPr>
            <w:r w:rsidRPr="00AE5C8B">
              <w:rPr>
                <w:rFonts w:cs="Calibri"/>
                <w:b/>
              </w:rPr>
              <w:t>Key Stage 2: Attainment</w:t>
            </w:r>
          </w:p>
        </w:tc>
        <w:tc>
          <w:tcPr>
            <w:tcW w:w="2977" w:type="dxa"/>
            <w:shd w:val="clear" w:color="auto" w:fill="000000"/>
            <w:tcMar>
              <w:top w:w="57" w:type="dxa"/>
              <w:bottom w:w="57" w:type="dxa"/>
            </w:tcMar>
            <w:vAlign w:val="center"/>
          </w:tcPr>
          <w:p w14:paraId="39DF4064" w14:textId="77777777" w:rsidR="00AB67E5" w:rsidRPr="00EA48B0" w:rsidRDefault="00AB67E5" w:rsidP="00E510AA">
            <w:pPr>
              <w:jc w:val="center"/>
              <w:rPr>
                <w:rFonts w:cs="Calibri"/>
              </w:rPr>
            </w:pPr>
          </w:p>
        </w:tc>
        <w:tc>
          <w:tcPr>
            <w:tcW w:w="4394" w:type="dxa"/>
            <w:gridSpan w:val="2"/>
            <w:shd w:val="clear" w:color="auto" w:fill="000000"/>
            <w:tcMar>
              <w:top w:w="57" w:type="dxa"/>
              <w:bottom w:w="57" w:type="dxa"/>
            </w:tcMar>
            <w:vAlign w:val="center"/>
          </w:tcPr>
          <w:p w14:paraId="44B61B1D" w14:textId="77777777" w:rsidR="00AB67E5" w:rsidRPr="00AE5C8B" w:rsidRDefault="00AB67E5" w:rsidP="00E510AA">
            <w:pPr>
              <w:jc w:val="center"/>
              <w:rPr>
                <w:rFonts w:cs="Calibri"/>
              </w:rPr>
            </w:pPr>
          </w:p>
        </w:tc>
      </w:tr>
      <w:tr w:rsidR="00C92490" w:rsidRPr="00AE5C8B" w14:paraId="58CD4EA3" w14:textId="77777777" w:rsidTr="00C92490">
        <w:tc>
          <w:tcPr>
            <w:tcW w:w="8046" w:type="dxa"/>
            <w:shd w:val="clear" w:color="auto" w:fill="auto"/>
            <w:tcMar>
              <w:top w:w="57" w:type="dxa"/>
              <w:bottom w:w="57" w:type="dxa"/>
            </w:tcMar>
          </w:tcPr>
          <w:p w14:paraId="0666006C" w14:textId="77777777" w:rsidR="00C92490" w:rsidRPr="00AE5C8B" w:rsidRDefault="00C92490" w:rsidP="00E510AA">
            <w:pPr>
              <w:spacing w:line="276" w:lineRule="auto"/>
              <w:ind w:right="-23"/>
              <w:rPr>
                <w:rFonts w:eastAsia="Arial" w:cs="Calibri"/>
              </w:rPr>
            </w:pPr>
            <w:r w:rsidRPr="00AE5C8B">
              <w:rPr>
                <w:rFonts w:cs="Calibri"/>
              </w:rPr>
              <w:t>% achieving ‘expected’ in reading</w:t>
            </w:r>
          </w:p>
        </w:tc>
        <w:tc>
          <w:tcPr>
            <w:tcW w:w="2977" w:type="dxa"/>
            <w:shd w:val="clear" w:color="auto" w:fill="auto"/>
            <w:tcMar>
              <w:top w:w="57" w:type="dxa"/>
              <w:bottom w:w="57" w:type="dxa"/>
            </w:tcMar>
            <w:vAlign w:val="center"/>
          </w:tcPr>
          <w:p w14:paraId="122AEFD3" w14:textId="2F4DFA51" w:rsidR="00C92490" w:rsidRPr="00EA48B0" w:rsidRDefault="00C92490" w:rsidP="00E510AA">
            <w:pPr>
              <w:ind w:left="187"/>
              <w:jc w:val="center"/>
              <w:rPr>
                <w:rFonts w:cs="Calibri"/>
              </w:rPr>
            </w:pPr>
            <w:r>
              <w:rPr>
                <w:rFonts w:cs="Calibri"/>
              </w:rPr>
              <w:t>39%</w:t>
            </w:r>
          </w:p>
        </w:tc>
        <w:tc>
          <w:tcPr>
            <w:tcW w:w="2864" w:type="dxa"/>
            <w:shd w:val="clear" w:color="auto" w:fill="F2F2F2"/>
            <w:tcMar>
              <w:top w:w="57" w:type="dxa"/>
              <w:bottom w:w="57" w:type="dxa"/>
            </w:tcMar>
          </w:tcPr>
          <w:p w14:paraId="3D187EBD" w14:textId="62DE8CA1" w:rsidR="00C92490" w:rsidRPr="00AE5C8B" w:rsidRDefault="00A367A5" w:rsidP="00E510AA">
            <w:pPr>
              <w:jc w:val="center"/>
              <w:rPr>
                <w:rFonts w:cs="Calibri"/>
              </w:rPr>
            </w:pPr>
            <w:r>
              <w:rPr>
                <w:rFonts w:cs="Calibri"/>
              </w:rPr>
              <w:t>TBC</w:t>
            </w:r>
          </w:p>
        </w:tc>
        <w:tc>
          <w:tcPr>
            <w:tcW w:w="1530" w:type="dxa"/>
            <w:shd w:val="clear" w:color="auto" w:fill="F2F2F2"/>
          </w:tcPr>
          <w:p w14:paraId="143F3B29" w14:textId="08123218" w:rsidR="00C92490" w:rsidRPr="00AE5C8B" w:rsidRDefault="00C92490" w:rsidP="00E510AA">
            <w:pPr>
              <w:jc w:val="center"/>
              <w:rPr>
                <w:rFonts w:cs="Calibri"/>
              </w:rPr>
            </w:pPr>
          </w:p>
        </w:tc>
      </w:tr>
      <w:tr w:rsidR="00C92490" w:rsidRPr="00AE5C8B" w14:paraId="3DF4670D" w14:textId="77777777" w:rsidTr="00C92490">
        <w:tc>
          <w:tcPr>
            <w:tcW w:w="8046" w:type="dxa"/>
            <w:shd w:val="clear" w:color="auto" w:fill="auto"/>
            <w:tcMar>
              <w:top w:w="57" w:type="dxa"/>
              <w:bottom w:w="57" w:type="dxa"/>
            </w:tcMar>
          </w:tcPr>
          <w:p w14:paraId="574EACA3" w14:textId="77777777" w:rsidR="00C92490" w:rsidRPr="00AE5C8B" w:rsidRDefault="00C92490" w:rsidP="00E510AA">
            <w:pPr>
              <w:spacing w:line="276" w:lineRule="auto"/>
              <w:ind w:right="-23"/>
              <w:rPr>
                <w:rFonts w:eastAsia="Arial" w:cs="Calibri"/>
                <w:bCs/>
              </w:rPr>
            </w:pPr>
            <w:r w:rsidRPr="00AE5C8B">
              <w:rPr>
                <w:rFonts w:cs="Calibri"/>
              </w:rPr>
              <w:t>% achieving ‘expected’ in writing</w:t>
            </w:r>
          </w:p>
        </w:tc>
        <w:tc>
          <w:tcPr>
            <w:tcW w:w="2977" w:type="dxa"/>
            <w:shd w:val="clear" w:color="auto" w:fill="auto"/>
            <w:tcMar>
              <w:top w:w="57" w:type="dxa"/>
              <w:bottom w:w="57" w:type="dxa"/>
            </w:tcMar>
            <w:vAlign w:val="center"/>
          </w:tcPr>
          <w:p w14:paraId="0041D8DD" w14:textId="5D88C0A7" w:rsidR="00C92490" w:rsidRPr="00EA48B0" w:rsidRDefault="00C92490" w:rsidP="00E510AA">
            <w:pPr>
              <w:ind w:left="187"/>
              <w:jc w:val="center"/>
              <w:rPr>
                <w:rFonts w:cs="Calibri"/>
              </w:rPr>
            </w:pPr>
            <w:r>
              <w:rPr>
                <w:rFonts w:cs="Calibri"/>
              </w:rPr>
              <w:t>31%</w:t>
            </w:r>
          </w:p>
        </w:tc>
        <w:tc>
          <w:tcPr>
            <w:tcW w:w="2864" w:type="dxa"/>
            <w:shd w:val="clear" w:color="auto" w:fill="F2F2F2"/>
            <w:tcMar>
              <w:top w:w="57" w:type="dxa"/>
              <w:bottom w:w="57" w:type="dxa"/>
            </w:tcMar>
          </w:tcPr>
          <w:p w14:paraId="15C314F1" w14:textId="5A8D7A37" w:rsidR="00C92490" w:rsidRPr="00AE5C8B" w:rsidRDefault="00A367A5" w:rsidP="00E510AA">
            <w:pPr>
              <w:jc w:val="center"/>
              <w:rPr>
                <w:rFonts w:cs="Calibri"/>
              </w:rPr>
            </w:pPr>
            <w:r>
              <w:rPr>
                <w:rFonts w:cs="Calibri"/>
              </w:rPr>
              <w:t>TBC</w:t>
            </w:r>
          </w:p>
        </w:tc>
        <w:tc>
          <w:tcPr>
            <w:tcW w:w="1530" w:type="dxa"/>
            <w:shd w:val="clear" w:color="auto" w:fill="F2F2F2"/>
          </w:tcPr>
          <w:p w14:paraId="79293C1F" w14:textId="179A4E85" w:rsidR="00C92490" w:rsidRPr="00AE5C8B" w:rsidRDefault="00C92490" w:rsidP="00E510AA">
            <w:pPr>
              <w:jc w:val="center"/>
              <w:rPr>
                <w:rFonts w:cs="Calibri"/>
              </w:rPr>
            </w:pPr>
          </w:p>
        </w:tc>
      </w:tr>
      <w:tr w:rsidR="00C92490" w:rsidRPr="00AE5C8B" w14:paraId="00D3087F" w14:textId="77777777" w:rsidTr="00C92490">
        <w:tc>
          <w:tcPr>
            <w:tcW w:w="8046" w:type="dxa"/>
            <w:shd w:val="clear" w:color="auto" w:fill="auto"/>
            <w:tcMar>
              <w:top w:w="57" w:type="dxa"/>
              <w:bottom w:w="57" w:type="dxa"/>
            </w:tcMar>
          </w:tcPr>
          <w:p w14:paraId="64223443" w14:textId="77777777" w:rsidR="00C92490" w:rsidRPr="00AE5C8B" w:rsidRDefault="00C92490" w:rsidP="00E510AA">
            <w:pPr>
              <w:spacing w:line="276" w:lineRule="auto"/>
              <w:ind w:right="-23"/>
              <w:rPr>
                <w:rFonts w:eastAsia="Arial" w:cs="Calibri"/>
                <w:bCs/>
              </w:rPr>
            </w:pPr>
            <w:r w:rsidRPr="00AE5C8B">
              <w:rPr>
                <w:rFonts w:cs="Calibri"/>
              </w:rPr>
              <w:t>% achieving ‘expected’ in maths</w:t>
            </w:r>
          </w:p>
        </w:tc>
        <w:tc>
          <w:tcPr>
            <w:tcW w:w="2977" w:type="dxa"/>
            <w:shd w:val="clear" w:color="auto" w:fill="auto"/>
            <w:tcMar>
              <w:top w:w="57" w:type="dxa"/>
              <w:bottom w:w="57" w:type="dxa"/>
            </w:tcMar>
            <w:vAlign w:val="center"/>
          </w:tcPr>
          <w:p w14:paraId="0F3BE6AE" w14:textId="6253AE97" w:rsidR="00C92490" w:rsidRPr="00EA48B0" w:rsidRDefault="00C92490" w:rsidP="00E510AA">
            <w:pPr>
              <w:ind w:left="187"/>
              <w:jc w:val="center"/>
              <w:rPr>
                <w:rFonts w:cs="Calibri"/>
              </w:rPr>
            </w:pPr>
            <w:r>
              <w:rPr>
                <w:rFonts w:cs="Calibri"/>
              </w:rPr>
              <w:t>43%</w:t>
            </w:r>
          </w:p>
        </w:tc>
        <w:tc>
          <w:tcPr>
            <w:tcW w:w="2864" w:type="dxa"/>
            <w:shd w:val="clear" w:color="auto" w:fill="F2F2F2"/>
            <w:tcMar>
              <w:top w:w="57" w:type="dxa"/>
              <w:bottom w:w="57" w:type="dxa"/>
            </w:tcMar>
          </w:tcPr>
          <w:p w14:paraId="4D80541E" w14:textId="7CD1F875" w:rsidR="00C92490" w:rsidRPr="00AE5C8B" w:rsidRDefault="00A367A5" w:rsidP="00E510AA">
            <w:pPr>
              <w:jc w:val="center"/>
              <w:rPr>
                <w:rFonts w:cs="Calibri"/>
              </w:rPr>
            </w:pPr>
            <w:r>
              <w:rPr>
                <w:rFonts w:cs="Calibri"/>
              </w:rPr>
              <w:t>TBC</w:t>
            </w:r>
          </w:p>
        </w:tc>
        <w:tc>
          <w:tcPr>
            <w:tcW w:w="1530" w:type="dxa"/>
            <w:shd w:val="clear" w:color="auto" w:fill="F2F2F2"/>
          </w:tcPr>
          <w:p w14:paraId="080D49C0" w14:textId="6437D8AD" w:rsidR="00C92490" w:rsidRPr="00AE5C8B" w:rsidRDefault="00C92490" w:rsidP="00E510AA">
            <w:pPr>
              <w:jc w:val="center"/>
              <w:rPr>
                <w:rFonts w:cs="Calibri"/>
              </w:rPr>
            </w:pPr>
          </w:p>
        </w:tc>
      </w:tr>
      <w:tr w:rsidR="00C92490" w:rsidRPr="00AE5C8B" w14:paraId="12EA3FD1" w14:textId="77777777" w:rsidTr="00C92490">
        <w:tc>
          <w:tcPr>
            <w:tcW w:w="8046" w:type="dxa"/>
            <w:shd w:val="clear" w:color="auto" w:fill="auto"/>
            <w:tcMar>
              <w:top w:w="57" w:type="dxa"/>
              <w:bottom w:w="57" w:type="dxa"/>
            </w:tcMar>
            <w:vAlign w:val="bottom"/>
          </w:tcPr>
          <w:p w14:paraId="3AF99706" w14:textId="77777777" w:rsidR="00C92490" w:rsidRPr="00AE5C8B" w:rsidRDefault="00C92490" w:rsidP="00E510AA">
            <w:pPr>
              <w:spacing w:line="276" w:lineRule="auto"/>
              <w:ind w:right="-23"/>
              <w:rPr>
                <w:rFonts w:eastAsia="Arial" w:cs="Calibri"/>
                <w:bCs/>
              </w:rPr>
            </w:pPr>
            <w:r w:rsidRPr="00AE5C8B">
              <w:rPr>
                <w:rFonts w:eastAsia="Arial" w:cs="Calibri"/>
                <w:bCs/>
              </w:rPr>
              <w:t>% achieving in reading, writing and maths</w:t>
            </w:r>
          </w:p>
        </w:tc>
        <w:tc>
          <w:tcPr>
            <w:tcW w:w="2977" w:type="dxa"/>
            <w:shd w:val="clear" w:color="auto" w:fill="auto"/>
            <w:tcMar>
              <w:top w:w="57" w:type="dxa"/>
              <w:bottom w:w="57" w:type="dxa"/>
            </w:tcMar>
            <w:vAlign w:val="center"/>
          </w:tcPr>
          <w:p w14:paraId="1423A570" w14:textId="3F5DD496" w:rsidR="00C92490" w:rsidRPr="00EA48B0" w:rsidRDefault="00C92490" w:rsidP="00E510AA">
            <w:pPr>
              <w:ind w:left="187"/>
              <w:jc w:val="center"/>
              <w:rPr>
                <w:rFonts w:cs="Calibri"/>
              </w:rPr>
            </w:pPr>
            <w:r>
              <w:rPr>
                <w:rFonts w:cs="Calibri"/>
              </w:rPr>
              <w:t>27%</w:t>
            </w:r>
          </w:p>
        </w:tc>
        <w:tc>
          <w:tcPr>
            <w:tcW w:w="2864" w:type="dxa"/>
            <w:shd w:val="clear" w:color="auto" w:fill="F2F2F2"/>
            <w:tcMar>
              <w:top w:w="57" w:type="dxa"/>
              <w:bottom w:w="57" w:type="dxa"/>
            </w:tcMar>
          </w:tcPr>
          <w:p w14:paraId="42E6D39C" w14:textId="0B5A4662" w:rsidR="00C92490" w:rsidRPr="00AE5C8B" w:rsidRDefault="00A367A5" w:rsidP="00E510AA">
            <w:pPr>
              <w:jc w:val="center"/>
              <w:rPr>
                <w:rFonts w:cs="Calibri"/>
              </w:rPr>
            </w:pPr>
            <w:r>
              <w:rPr>
                <w:rFonts w:cs="Calibri"/>
              </w:rPr>
              <w:t>TBC</w:t>
            </w:r>
          </w:p>
        </w:tc>
        <w:tc>
          <w:tcPr>
            <w:tcW w:w="1530" w:type="dxa"/>
            <w:shd w:val="clear" w:color="auto" w:fill="F2F2F2"/>
          </w:tcPr>
          <w:p w14:paraId="368E79FA" w14:textId="78FDFD2E" w:rsidR="00C92490" w:rsidRPr="00AE5C8B" w:rsidRDefault="00C92490" w:rsidP="00E510AA">
            <w:pPr>
              <w:jc w:val="center"/>
              <w:rPr>
                <w:rFonts w:cs="Calibri"/>
              </w:rPr>
            </w:pPr>
          </w:p>
        </w:tc>
      </w:tr>
      <w:tr w:rsidR="00C92490" w:rsidRPr="00AE5C8B" w14:paraId="303C8DE4" w14:textId="77777777" w:rsidTr="00C92490">
        <w:tc>
          <w:tcPr>
            <w:tcW w:w="8046" w:type="dxa"/>
            <w:shd w:val="clear" w:color="auto" w:fill="auto"/>
            <w:tcMar>
              <w:top w:w="57" w:type="dxa"/>
              <w:bottom w:w="57" w:type="dxa"/>
            </w:tcMar>
            <w:vAlign w:val="bottom"/>
          </w:tcPr>
          <w:p w14:paraId="3F9F0027" w14:textId="77777777" w:rsidR="00C92490" w:rsidRPr="00AE5C8B" w:rsidRDefault="00C92490" w:rsidP="00E510AA">
            <w:pPr>
              <w:spacing w:line="276" w:lineRule="auto"/>
              <w:ind w:right="-23"/>
              <w:rPr>
                <w:rFonts w:eastAsia="Arial" w:cs="Calibri"/>
                <w:bCs/>
              </w:rPr>
            </w:pPr>
            <w:r w:rsidRPr="00AE5C8B">
              <w:rPr>
                <w:rFonts w:eastAsia="Arial" w:cs="Calibri"/>
                <w:bCs/>
              </w:rPr>
              <w:t>% achieving in SPAG</w:t>
            </w:r>
          </w:p>
        </w:tc>
        <w:tc>
          <w:tcPr>
            <w:tcW w:w="2977" w:type="dxa"/>
            <w:shd w:val="clear" w:color="auto" w:fill="auto"/>
            <w:tcMar>
              <w:top w:w="57" w:type="dxa"/>
              <w:bottom w:w="57" w:type="dxa"/>
            </w:tcMar>
            <w:vAlign w:val="center"/>
          </w:tcPr>
          <w:p w14:paraId="51D5C018" w14:textId="4751D9C7" w:rsidR="00C92490" w:rsidRPr="00EA48B0" w:rsidRDefault="00C92490" w:rsidP="00E510AA">
            <w:pPr>
              <w:ind w:left="187"/>
              <w:jc w:val="center"/>
              <w:rPr>
                <w:rFonts w:cs="Calibri"/>
              </w:rPr>
            </w:pPr>
            <w:r>
              <w:rPr>
                <w:rFonts w:cs="Calibri"/>
              </w:rPr>
              <w:t>N/A</w:t>
            </w:r>
          </w:p>
        </w:tc>
        <w:tc>
          <w:tcPr>
            <w:tcW w:w="2864" w:type="dxa"/>
            <w:shd w:val="clear" w:color="auto" w:fill="F2F2F2"/>
            <w:tcMar>
              <w:top w:w="57" w:type="dxa"/>
              <w:bottom w:w="57" w:type="dxa"/>
            </w:tcMar>
          </w:tcPr>
          <w:p w14:paraId="00CC92BF" w14:textId="4007F9E5" w:rsidR="00C92490" w:rsidRPr="00AE5C8B" w:rsidRDefault="00A367A5" w:rsidP="00E510AA">
            <w:pPr>
              <w:jc w:val="center"/>
              <w:rPr>
                <w:rFonts w:cs="Calibri"/>
              </w:rPr>
            </w:pPr>
            <w:r>
              <w:rPr>
                <w:rFonts w:cs="Calibri"/>
              </w:rPr>
              <w:t>TBC</w:t>
            </w:r>
          </w:p>
        </w:tc>
        <w:tc>
          <w:tcPr>
            <w:tcW w:w="1530" w:type="dxa"/>
            <w:shd w:val="clear" w:color="auto" w:fill="F2F2F2"/>
          </w:tcPr>
          <w:p w14:paraId="10373017" w14:textId="304922E6" w:rsidR="00C92490" w:rsidRPr="00AE5C8B" w:rsidRDefault="00C92490" w:rsidP="00E510AA">
            <w:pPr>
              <w:jc w:val="center"/>
              <w:rPr>
                <w:rFonts w:cs="Calibri"/>
              </w:rPr>
            </w:pPr>
          </w:p>
        </w:tc>
      </w:tr>
      <w:tr w:rsidR="00C92490" w:rsidRPr="00AE5C8B" w14:paraId="409A277B" w14:textId="77777777" w:rsidTr="00C92490">
        <w:tc>
          <w:tcPr>
            <w:tcW w:w="8046" w:type="dxa"/>
            <w:shd w:val="clear" w:color="auto" w:fill="auto"/>
            <w:tcMar>
              <w:top w:w="57" w:type="dxa"/>
              <w:bottom w:w="57" w:type="dxa"/>
            </w:tcMar>
          </w:tcPr>
          <w:p w14:paraId="1E1C2BC3" w14:textId="77777777" w:rsidR="00C92490" w:rsidRPr="00AE5C8B" w:rsidRDefault="00C92490" w:rsidP="00E510AA">
            <w:pPr>
              <w:spacing w:line="276" w:lineRule="auto"/>
              <w:ind w:right="-23"/>
              <w:rPr>
                <w:rFonts w:eastAsia="Arial" w:cs="Calibri"/>
                <w:bCs/>
              </w:rPr>
            </w:pPr>
            <w:r w:rsidRPr="00AE5C8B">
              <w:rPr>
                <w:rFonts w:eastAsia="Arial" w:cs="Calibri"/>
                <w:bCs/>
              </w:rPr>
              <w:t>% achieving ‘greater depth’ in reading</w:t>
            </w:r>
          </w:p>
        </w:tc>
        <w:tc>
          <w:tcPr>
            <w:tcW w:w="2977" w:type="dxa"/>
            <w:shd w:val="clear" w:color="auto" w:fill="auto"/>
            <w:tcMar>
              <w:top w:w="57" w:type="dxa"/>
              <w:bottom w:w="57" w:type="dxa"/>
            </w:tcMar>
            <w:vAlign w:val="center"/>
          </w:tcPr>
          <w:p w14:paraId="39C799B4" w14:textId="0DB15064" w:rsidR="00C92490" w:rsidRPr="00EA48B0" w:rsidRDefault="00C92490" w:rsidP="00E510AA">
            <w:pPr>
              <w:ind w:left="187"/>
              <w:jc w:val="center"/>
              <w:rPr>
                <w:rFonts w:cs="Calibri"/>
              </w:rPr>
            </w:pPr>
            <w:r>
              <w:rPr>
                <w:rFonts w:cs="Calibri"/>
              </w:rPr>
              <w:t>0%</w:t>
            </w:r>
          </w:p>
        </w:tc>
        <w:tc>
          <w:tcPr>
            <w:tcW w:w="2864" w:type="dxa"/>
            <w:shd w:val="clear" w:color="auto" w:fill="F2F2F2"/>
            <w:tcMar>
              <w:top w:w="57" w:type="dxa"/>
              <w:bottom w:w="57" w:type="dxa"/>
            </w:tcMar>
            <w:vAlign w:val="center"/>
          </w:tcPr>
          <w:p w14:paraId="5D7BE851" w14:textId="6AC70ECB" w:rsidR="00C92490" w:rsidRPr="00AE5C8B" w:rsidRDefault="00A367A5" w:rsidP="00E510AA">
            <w:pPr>
              <w:jc w:val="center"/>
              <w:rPr>
                <w:rFonts w:cs="Calibri"/>
              </w:rPr>
            </w:pPr>
            <w:r>
              <w:rPr>
                <w:rFonts w:cs="Calibri"/>
              </w:rPr>
              <w:t>TBC</w:t>
            </w:r>
          </w:p>
        </w:tc>
        <w:tc>
          <w:tcPr>
            <w:tcW w:w="1530" w:type="dxa"/>
            <w:shd w:val="clear" w:color="auto" w:fill="F2F2F2"/>
            <w:vAlign w:val="center"/>
          </w:tcPr>
          <w:p w14:paraId="39605B45" w14:textId="69041A90" w:rsidR="00C92490" w:rsidRPr="00AE5C8B" w:rsidRDefault="00C92490" w:rsidP="00E510AA">
            <w:pPr>
              <w:jc w:val="center"/>
              <w:rPr>
                <w:rFonts w:cs="Calibri"/>
              </w:rPr>
            </w:pPr>
          </w:p>
        </w:tc>
      </w:tr>
      <w:tr w:rsidR="00C92490" w:rsidRPr="00AE5C8B" w14:paraId="2E2970AF" w14:textId="77777777" w:rsidTr="00C92490">
        <w:tc>
          <w:tcPr>
            <w:tcW w:w="8046" w:type="dxa"/>
            <w:shd w:val="clear" w:color="auto" w:fill="auto"/>
            <w:tcMar>
              <w:top w:w="57" w:type="dxa"/>
              <w:bottom w:w="57" w:type="dxa"/>
            </w:tcMar>
          </w:tcPr>
          <w:p w14:paraId="74E9631C" w14:textId="77777777" w:rsidR="00C92490" w:rsidRPr="00AE5C8B" w:rsidRDefault="00C92490" w:rsidP="00E510AA">
            <w:pPr>
              <w:spacing w:line="276" w:lineRule="auto"/>
              <w:ind w:right="-23"/>
              <w:rPr>
                <w:rFonts w:eastAsia="Arial" w:cs="Calibri"/>
                <w:bCs/>
              </w:rPr>
            </w:pPr>
            <w:r w:rsidRPr="00AE5C8B">
              <w:rPr>
                <w:rFonts w:cs="Calibri"/>
              </w:rPr>
              <w:t>% achieving ‘greater depth’ in writing</w:t>
            </w:r>
          </w:p>
        </w:tc>
        <w:tc>
          <w:tcPr>
            <w:tcW w:w="2977" w:type="dxa"/>
            <w:shd w:val="clear" w:color="auto" w:fill="auto"/>
            <w:tcMar>
              <w:top w:w="57" w:type="dxa"/>
              <w:bottom w:w="57" w:type="dxa"/>
            </w:tcMar>
            <w:vAlign w:val="center"/>
          </w:tcPr>
          <w:p w14:paraId="388C29AD" w14:textId="6665D442" w:rsidR="00C92490" w:rsidRPr="00F14720" w:rsidRDefault="00C92490" w:rsidP="00E510AA">
            <w:pPr>
              <w:ind w:left="187"/>
              <w:jc w:val="center"/>
              <w:rPr>
                <w:rFonts w:cs="Calibri"/>
                <w:highlight w:val="magenta"/>
              </w:rPr>
            </w:pPr>
            <w:r w:rsidRPr="00EA48B0">
              <w:rPr>
                <w:rFonts w:cs="Calibri"/>
              </w:rPr>
              <w:t>0%</w:t>
            </w:r>
          </w:p>
        </w:tc>
        <w:tc>
          <w:tcPr>
            <w:tcW w:w="2864" w:type="dxa"/>
            <w:shd w:val="clear" w:color="auto" w:fill="F2F2F2"/>
            <w:tcMar>
              <w:top w:w="57" w:type="dxa"/>
              <w:bottom w:w="57" w:type="dxa"/>
            </w:tcMar>
            <w:vAlign w:val="center"/>
          </w:tcPr>
          <w:p w14:paraId="2FB24FE4" w14:textId="10290A75" w:rsidR="00C92490" w:rsidRPr="00AE5C8B" w:rsidRDefault="00A367A5" w:rsidP="00E510AA">
            <w:pPr>
              <w:jc w:val="center"/>
              <w:rPr>
                <w:rFonts w:cs="Calibri"/>
              </w:rPr>
            </w:pPr>
            <w:r>
              <w:rPr>
                <w:rFonts w:cs="Calibri"/>
              </w:rPr>
              <w:t>TBC</w:t>
            </w:r>
          </w:p>
        </w:tc>
        <w:tc>
          <w:tcPr>
            <w:tcW w:w="1530" w:type="dxa"/>
            <w:shd w:val="clear" w:color="auto" w:fill="F2F2F2"/>
            <w:vAlign w:val="center"/>
          </w:tcPr>
          <w:p w14:paraId="7427991A" w14:textId="1339E928" w:rsidR="00C92490" w:rsidRPr="00AE5C8B" w:rsidRDefault="00C92490" w:rsidP="00E510AA">
            <w:pPr>
              <w:jc w:val="center"/>
              <w:rPr>
                <w:rFonts w:cs="Calibri"/>
              </w:rPr>
            </w:pPr>
          </w:p>
        </w:tc>
      </w:tr>
      <w:tr w:rsidR="00C92490" w:rsidRPr="00AE5C8B" w14:paraId="4D52F68D" w14:textId="77777777" w:rsidTr="00C92490">
        <w:tc>
          <w:tcPr>
            <w:tcW w:w="8046" w:type="dxa"/>
            <w:shd w:val="clear" w:color="auto" w:fill="auto"/>
            <w:tcMar>
              <w:top w:w="57" w:type="dxa"/>
              <w:bottom w:w="57" w:type="dxa"/>
            </w:tcMar>
          </w:tcPr>
          <w:p w14:paraId="06D4B555" w14:textId="77777777" w:rsidR="00C92490" w:rsidRPr="00AE5C8B" w:rsidRDefault="00C92490" w:rsidP="00E510AA">
            <w:pPr>
              <w:spacing w:line="276" w:lineRule="auto"/>
              <w:ind w:right="-23"/>
              <w:rPr>
                <w:rFonts w:eastAsia="Arial" w:cs="Calibri"/>
                <w:bCs/>
              </w:rPr>
            </w:pPr>
            <w:r w:rsidRPr="00AE5C8B">
              <w:rPr>
                <w:rFonts w:cs="Calibri"/>
              </w:rPr>
              <w:lastRenderedPageBreak/>
              <w:t>% achieving ‘greater depth’ in maths</w:t>
            </w:r>
          </w:p>
        </w:tc>
        <w:tc>
          <w:tcPr>
            <w:tcW w:w="2977" w:type="dxa"/>
            <w:shd w:val="clear" w:color="auto" w:fill="auto"/>
            <w:tcMar>
              <w:top w:w="57" w:type="dxa"/>
              <w:bottom w:w="57" w:type="dxa"/>
            </w:tcMar>
            <w:vAlign w:val="center"/>
          </w:tcPr>
          <w:p w14:paraId="293D237F" w14:textId="6BDD335A" w:rsidR="00C92490" w:rsidRPr="00F14720" w:rsidRDefault="00C92490" w:rsidP="00EA48B0">
            <w:pPr>
              <w:ind w:left="187"/>
              <w:jc w:val="center"/>
              <w:rPr>
                <w:rFonts w:cs="Calibri"/>
                <w:highlight w:val="magenta"/>
              </w:rPr>
            </w:pPr>
            <w:r w:rsidRPr="00EA48B0">
              <w:rPr>
                <w:rFonts w:cs="Calibri"/>
              </w:rPr>
              <w:t>0%</w:t>
            </w:r>
          </w:p>
        </w:tc>
        <w:tc>
          <w:tcPr>
            <w:tcW w:w="2864" w:type="dxa"/>
            <w:shd w:val="clear" w:color="auto" w:fill="F2F2F2"/>
            <w:tcMar>
              <w:top w:w="57" w:type="dxa"/>
              <w:bottom w:w="57" w:type="dxa"/>
            </w:tcMar>
            <w:vAlign w:val="center"/>
          </w:tcPr>
          <w:p w14:paraId="488C42A8" w14:textId="65E96813" w:rsidR="00C92490" w:rsidRPr="00AE5C8B" w:rsidRDefault="00A367A5" w:rsidP="00E510AA">
            <w:pPr>
              <w:jc w:val="center"/>
              <w:rPr>
                <w:rFonts w:cs="Calibri"/>
              </w:rPr>
            </w:pPr>
            <w:r>
              <w:rPr>
                <w:rFonts w:cs="Calibri"/>
              </w:rPr>
              <w:t>TBC</w:t>
            </w:r>
          </w:p>
        </w:tc>
        <w:tc>
          <w:tcPr>
            <w:tcW w:w="1530" w:type="dxa"/>
            <w:shd w:val="clear" w:color="auto" w:fill="F2F2F2"/>
            <w:vAlign w:val="center"/>
          </w:tcPr>
          <w:p w14:paraId="298779A8" w14:textId="44C8059D" w:rsidR="00C92490" w:rsidRPr="00AE5C8B" w:rsidRDefault="00C92490" w:rsidP="00E510AA">
            <w:pPr>
              <w:jc w:val="center"/>
              <w:rPr>
                <w:rFonts w:cs="Calibri"/>
              </w:rPr>
            </w:pPr>
          </w:p>
        </w:tc>
      </w:tr>
      <w:tr w:rsidR="00C92490" w:rsidRPr="00AE5C8B" w14:paraId="212F048F" w14:textId="77777777" w:rsidTr="00C92490">
        <w:tc>
          <w:tcPr>
            <w:tcW w:w="8046" w:type="dxa"/>
            <w:shd w:val="clear" w:color="auto" w:fill="auto"/>
            <w:tcMar>
              <w:top w:w="57" w:type="dxa"/>
              <w:bottom w:w="57" w:type="dxa"/>
            </w:tcMar>
          </w:tcPr>
          <w:p w14:paraId="02C954DF" w14:textId="77777777" w:rsidR="00C92490" w:rsidRPr="00AE5C8B" w:rsidRDefault="00C92490" w:rsidP="00E510AA">
            <w:pPr>
              <w:spacing w:line="276" w:lineRule="auto"/>
              <w:ind w:right="-23"/>
              <w:rPr>
                <w:rFonts w:eastAsia="Arial" w:cs="Calibri"/>
                <w:bCs/>
              </w:rPr>
            </w:pPr>
            <w:r w:rsidRPr="00AE5C8B">
              <w:rPr>
                <w:rFonts w:eastAsia="Arial" w:cs="Calibri"/>
                <w:bCs/>
              </w:rPr>
              <w:t>% achieving ‘greater depth’ in reading, writing and maths</w:t>
            </w:r>
          </w:p>
        </w:tc>
        <w:tc>
          <w:tcPr>
            <w:tcW w:w="2977" w:type="dxa"/>
            <w:shd w:val="clear" w:color="auto" w:fill="auto"/>
            <w:tcMar>
              <w:top w:w="57" w:type="dxa"/>
              <w:bottom w:w="57" w:type="dxa"/>
            </w:tcMar>
            <w:vAlign w:val="center"/>
          </w:tcPr>
          <w:p w14:paraId="00C993BB" w14:textId="2007FBF5" w:rsidR="00C92490" w:rsidRPr="00F14720" w:rsidRDefault="00C92490" w:rsidP="00E510AA">
            <w:pPr>
              <w:ind w:left="187"/>
              <w:jc w:val="center"/>
              <w:rPr>
                <w:rFonts w:cs="Calibri"/>
                <w:highlight w:val="magenta"/>
              </w:rPr>
            </w:pPr>
            <w:r w:rsidRPr="00EA48B0">
              <w:rPr>
                <w:rFonts w:cs="Calibri"/>
              </w:rPr>
              <w:t>0%</w:t>
            </w:r>
          </w:p>
        </w:tc>
        <w:tc>
          <w:tcPr>
            <w:tcW w:w="2864" w:type="dxa"/>
            <w:shd w:val="clear" w:color="auto" w:fill="F2F2F2"/>
            <w:tcMar>
              <w:top w:w="57" w:type="dxa"/>
              <w:bottom w:w="57" w:type="dxa"/>
            </w:tcMar>
            <w:vAlign w:val="center"/>
          </w:tcPr>
          <w:p w14:paraId="6AC5CF34" w14:textId="3766E23E" w:rsidR="00C92490" w:rsidRPr="00AE5C8B" w:rsidRDefault="00A367A5" w:rsidP="00E510AA">
            <w:pPr>
              <w:jc w:val="center"/>
              <w:rPr>
                <w:rFonts w:cs="Calibri"/>
              </w:rPr>
            </w:pPr>
            <w:r>
              <w:rPr>
                <w:rFonts w:cs="Calibri"/>
              </w:rPr>
              <w:t>TBC</w:t>
            </w:r>
          </w:p>
        </w:tc>
        <w:tc>
          <w:tcPr>
            <w:tcW w:w="1530" w:type="dxa"/>
            <w:shd w:val="clear" w:color="auto" w:fill="F2F2F2"/>
            <w:vAlign w:val="center"/>
          </w:tcPr>
          <w:p w14:paraId="50352090" w14:textId="6B139EF3" w:rsidR="00C92490" w:rsidRPr="00AE5C8B" w:rsidRDefault="00C92490" w:rsidP="00E510AA">
            <w:pPr>
              <w:jc w:val="center"/>
              <w:rPr>
                <w:rFonts w:cs="Calibri"/>
              </w:rPr>
            </w:pPr>
          </w:p>
        </w:tc>
      </w:tr>
      <w:tr w:rsidR="00C92490" w:rsidRPr="00AE5C8B" w14:paraId="74C092C8" w14:textId="77777777" w:rsidTr="00C92490">
        <w:tc>
          <w:tcPr>
            <w:tcW w:w="8046" w:type="dxa"/>
            <w:shd w:val="clear" w:color="auto" w:fill="auto"/>
            <w:tcMar>
              <w:top w:w="57" w:type="dxa"/>
              <w:bottom w:w="57" w:type="dxa"/>
            </w:tcMar>
            <w:vAlign w:val="bottom"/>
          </w:tcPr>
          <w:p w14:paraId="23CE96ED" w14:textId="77777777" w:rsidR="00C92490" w:rsidRPr="00AE5C8B" w:rsidRDefault="00C92490" w:rsidP="00E510AA">
            <w:pPr>
              <w:spacing w:line="276" w:lineRule="auto"/>
              <w:ind w:right="-23"/>
              <w:rPr>
                <w:rFonts w:eastAsia="Arial" w:cs="Calibri"/>
                <w:bCs/>
              </w:rPr>
            </w:pPr>
            <w:r w:rsidRPr="00AE5C8B">
              <w:rPr>
                <w:rFonts w:eastAsia="Arial" w:cs="Calibri"/>
                <w:bCs/>
              </w:rPr>
              <w:t>% achieving ‘greater depth’ in SPAG</w:t>
            </w:r>
          </w:p>
        </w:tc>
        <w:tc>
          <w:tcPr>
            <w:tcW w:w="2977" w:type="dxa"/>
            <w:shd w:val="clear" w:color="auto" w:fill="auto"/>
            <w:tcMar>
              <w:top w:w="57" w:type="dxa"/>
              <w:bottom w:w="57" w:type="dxa"/>
            </w:tcMar>
            <w:vAlign w:val="center"/>
          </w:tcPr>
          <w:p w14:paraId="4780C5AF" w14:textId="6D59AE02" w:rsidR="00C92490" w:rsidRPr="00F14720" w:rsidRDefault="00C92490" w:rsidP="00E510AA">
            <w:pPr>
              <w:ind w:left="187"/>
              <w:jc w:val="center"/>
              <w:rPr>
                <w:rFonts w:cs="Calibri"/>
                <w:highlight w:val="magenta"/>
              </w:rPr>
            </w:pPr>
            <w:r w:rsidRPr="00EA48B0">
              <w:rPr>
                <w:rFonts w:cs="Calibri"/>
              </w:rPr>
              <w:t>0%</w:t>
            </w:r>
          </w:p>
        </w:tc>
        <w:tc>
          <w:tcPr>
            <w:tcW w:w="2864" w:type="dxa"/>
            <w:shd w:val="clear" w:color="auto" w:fill="F2F2F2"/>
            <w:tcMar>
              <w:top w:w="57" w:type="dxa"/>
              <w:bottom w:w="57" w:type="dxa"/>
            </w:tcMar>
          </w:tcPr>
          <w:p w14:paraId="117BEED1" w14:textId="4ADDACF6" w:rsidR="00C92490" w:rsidRPr="00AE5C8B" w:rsidRDefault="00A367A5" w:rsidP="00E510AA">
            <w:pPr>
              <w:jc w:val="center"/>
              <w:rPr>
                <w:rFonts w:cs="Calibri"/>
              </w:rPr>
            </w:pPr>
            <w:r>
              <w:rPr>
                <w:rFonts w:cs="Calibri"/>
              </w:rPr>
              <w:t>TBC</w:t>
            </w:r>
          </w:p>
        </w:tc>
        <w:tc>
          <w:tcPr>
            <w:tcW w:w="1530" w:type="dxa"/>
            <w:shd w:val="clear" w:color="auto" w:fill="F2F2F2"/>
          </w:tcPr>
          <w:p w14:paraId="322C9E45" w14:textId="2BF5D869" w:rsidR="00C92490" w:rsidRPr="00AE5C8B" w:rsidRDefault="00C92490" w:rsidP="00E510AA">
            <w:pPr>
              <w:jc w:val="center"/>
              <w:rPr>
                <w:rFonts w:cs="Calibri"/>
              </w:rPr>
            </w:pPr>
          </w:p>
        </w:tc>
      </w:tr>
    </w:tbl>
    <w:p w14:paraId="3134CBF3" w14:textId="77777777" w:rsidR="00AB67E5" w:rsidRDefault="00AB67E5"/>
    <w:p w14:paraId="1C822943" w14:textId="77777777" w:rsidR="00AB67E5" w:rsidRDefault="00AB67E5"/>
    <w:p w14:paraId="4875B6F9" w14:textId="77777777" w:rsidR="00AB67E5" w:rsidRDefault="00AB67E5"/>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810"/>
        <w:gridCol w:w="4329"/>
        <w:gridCol w:w="5139"/>
      </w:tblGrid>
      <w:tr w:rsidR="00AB67E5" w:rsidRPr="00AE5C8B" w14:paraId="0251F490" w14:textId="77777777" w:rsidTr="00E510AA">
        <w:tc>
          <w:tcPr>
            <w:tcW w:w="15417" w:type="dxa"/>
            <w:gridSpan w:val="4"/>
            <w:shd w:val="clear" w:color="auto" w:fill="CCC0D9"/>
            <w:tcMar>
              <w:top w:w="57" w:type="dxa"/>
              <w:bottom w:w="57" w:type="dxa"/>
            </w:tcMar>
          </w:tcPr>
          <w:p w14:paraId="66F93ACF" w14:textId="723A2956" w:rsidR="00AB67E5" w:rsidRPr="00AE5C8B" w:rsidRDefault="00AB67E5" w:rsidP="00AB67E5">
            <w:pPr>
              <w:pStyle w:val="ListParagraph"/>
              <w:numPr>
                <w:ilvl w:val="0"/>
                <w:numId w:val="1"/>
              </w:numPr>
              <w:rPr>
                <w:rFonts w:cs="Calibri"/>
                <w:b/>
              </w:rPr>
            </w:pPr>
            <w:r w:rsidRPr="00AE5C8B">
              <w:rPr>
                <w:rFonts w:cs="Calibri"/>
                <w:b/>
              </w:rPr>
              <w:t>Priorities and Expenditure for 201</w:t>
            </w:r>
            <w:r w:rsidR="00F14720">
              <w:rPr>
                <w:rFonts w:cs="Calibri"/>
                <w:b/>
              </w:rPr>
              <w:t>9/20</w:t>
            </w:r>
          </w:p>
        </w:tc>
      </w:tr>
      <w:tr w:rsidR="00AB67E5" w:rsidRPr="00AE5C8B" w14:paraId="6E82A096" w14:textId="77777777" w:rsidTr="00E510AA">
        <w:tc>
          <w:tcPr>
            <w:tcW w:w="15417" w:type="dxa"/>
            <w:gridSpan w:val="4"/>
            <w:shd w:val="clear" w:color="auto" w:fill="auto"/>
            <w:tcMar>
              <w:top w:w="57" w:type="dxa"/>
              <w:bottom w:w="57" w:type="dxa"/>
            </w:tcMar>
          </w:tcPr>
          <w:p w14:paraId="1D1FF83B" w14:textId="77777777" w:rsidR="00AB67E5" w:rsidRPr="00AE5C8B" w:rsidRDefault="00AB67E5" w:rsidP="00E510AA">
            <w:pPr>
              <w:rPr>
                <w:rFonts w:cs="Calibri"/>
              </w:rPr>
            </w:pPr>
            <w:r w:rsidRPr="00AE5C8B">
              <w:rPr>
                <w:rFonts w:cs="Calibri"/>
              </w:rPr>
              <w:t>Our intended spend will support the following:</w:t>
            </w:r>
          </w:p>
        </w:tc>
      </w:tr>
      <w:tr w:rsidR="00AB67E5" w:rsidRPr="00AE5C8B" w14:paraId="15BDFB84" w14:textId="77777777" w:rsidTr="00E510AA">
        <w:tc>
          <w:tcPr>
            <w:tcW w:w="5949" w:type="dxa"/>
            <w:gridSpan w:val="2"/>
            <w:shd w:val="clear" w:color="auto" w:fill="auto"/>
            <w:tcMar>
              <w:top w:w="57" w:type="dxa"/>
              <w:bottom w:w="57" w:type="dxa"/>
            </w:tcMar>
          </w:tcPr>
          <w:p w14:paraId="24579155" w14:textId="77777777" w:rsidR="00AB67E5" w:rsidRPr="00AE5C8B" w:rsidRDefault="00AB67E5" w:rsidP="00E510AA">
            <w:pPr>
              <w:rPr>
                <w:rFonts w:cs="Calibri"/>
                <w:b/>
              </w:rPr>
            </w:pPr>
            <w:r w:rsidRPr="00AE5C8B">
              <w:rPr>
                <w:rFonts w:cs="Calibri"/>
                <w:b/>
              </w:rPr>
              <w:t>Total Number of Children eligible for PPG</w:t>
            </w:r>
          </w:p>
        </w:tc>
        <w:tc>
          <w:tcPr>
            <w:tcW w:w="9468" w:type="dxa"/>
            <w:gridSpan w:val="2"/>
            <w:shd w:val="clear" w:color="auto" w:fill="FFFFFF"/>
            <w:tcMar>
              <w:top w:w="57" w:type="dxa"/>
              <w:bottom w:w="57" w:type="dxa"/>
            </w:tcMar>
            <w:vAlign w:val="center"/>
          </w:tcPr>
          <w:p w14:paraId="4E6F20A7" w14:textId="4298BA1A" w:rsidR="00AB67E5" w:rsidRPr="00E30041" w:rsidRDefault="00E30041" w:rsidP="00E510AA">
            <w:pPr>
              <w:jc w:val="center"/>
              <w:rPr>
                <w:rFonts w:cs="Calibri"/>
              </w:rPr>
            </w:pPr>
            <w:r w:rsidRPr="00E30041">
              <w:rPr>
                <w:rFonts w:cs="Calibri"/>
              </w:rPr>
              <w:t>122 (to March ’20</w:t>
            </w:r>
            <w:r w:rsidR="00AB67E5" w:rsidRPr="00E30041">
              <w:rPr>
                <w:rFonts w:cs="Calibri"/>
              </w:rPr>
              <w:t>)</w:t>
            </w:r>
          </w:p>
          <w:p w14:paraId="1844780B" w14:textId="3F1C1FAC" w:rsidR="00AB67E5" w:rsidRPr="00F14720" w:rsidRDefault="00E30041" w:rsidP="00E510AA">
            <w:pPr>
              <w:jc w:val="center"/>
              <w:rPr>
                <w:rFonts w:cs="Calibri"/>
                <w:highlight w:val="magenta"/>
              </w:rPr>
            </w:pPr>
            <w:r w:rsidRPr="00E30041">
              <w:rPr>
                <w:rFonts w:cs="Calibri"/>
              </w:rPr>
              <w:t>100 (April to August ’20</w:t>
            </w:r>
            <w:r w:rsidR="00AB67E5" w:rsidRPr="00E30041">
              <w:rPr>
                <w:rFonts w:cs="Calibri"/>
              </w:rPr>
              <w:t>)</w:t>
            </w:r>
          </w:p>
        </w:tc>
      </w:tr>
      <w:tr w:rsidR="00AB67E5" w:rsidRPr="00AE5C8B" w14:paraId="085EDCEF" w14:textId="77777777" w:rsidTr="00E510AA">
        <w:tc>
          <w:tcPr>
            <w:tcW w:w="5949" w:type="dxa"/>
            <w:gridSpan w:val="2"/>
            <w:shd w:val="clear" w:color="auto" w:fill="auto"/>
            <w:tcMar>
              <w:top w:w="57" w:type="dxa"/>
              <w:bottom w:w="57" w:type="dxa"/>
            </w:tcMar>
          </w:tcPr>
          <w:p w14:paraId="3466AF4D" w14:textId="77777777" w:rsidR="00AB67E5" w:rsidRPr="00AE5C8B" w:rsidRDefault="00AB67E5" w:rsidP="00E510AA">
            <w:pPr>
              <w:rPr>
                <w:rFonts w:cs="Calibri"/>
                <w:b/>
              </w:rPr>
            </w:pPr>
            <w:r w:rsidRPr="00AE5C8B">
              <w:rPr>
                <w:rFonts w:cs="Calibri"/>
                <w:b/>
              </w:rPr>
              <w:t>Amount of PPG received per pupil</w:t>
            </w:r>
          </w:p>
        </w:tc>
        <w:tc>
          <w:tcPr>
            <w:tcW w:w="9468" w:type="dxa"/>
            <w:gridSpan w:val="2"/>
            <w:shd w:val="clear" w:color="auto" w:fill="FFFFFF"/>
            <w:tcMar>
              <w:top w:w="57" w:type="dxa"/>
              <w:bottom w:w="57" w:type="dxa"/>
            </w:tcMar>
            <w:vAlign w:val="center"/>
          </w:tcPr>
          <w:p w14:paraId="625FE73A" w14:textId="256E321A" w:rsidR="00AB67E5" w:rsidRPr="00E30041" w:rsidRDefault="00E30041" w:rsidP="00E510AA">
            <w:pPr>
              <w:jc w:val="center"/>
              <w:rPr>
                <w:rFonts w:cs="Calibri"/>
              </w:rPr>
            </w:pPr>
            <w:r w:rsidRPr="00E30041">
              <w:rPr>
                <w:rFonts w:cs="Calibri"/>
              </w:rPr>
              <w:t>£1320 (to March ’20</w:t>
            </w:r>
            <w:r w:rsidR="00AB67E5" w:rsidRPr="00E30041">
              <w:rPr>
                <w:rFonts w:cs="Calibri"/>
              </w:rPr>
              <w:t>)</w:t>
            </w:r>
          </w:p>
          <w:p w14:paraId="14367623" w14:textId="4A426B80" w:rsidR="00AB67E5" w:rsidRPr="00F14720" w:rsidRDefault="00AB67E5" w:rsidP="00E510AA">
            <w:pPr>
              <w:jc w:val="center"/>
              <w:rPr>
                <w:rFonts w:cs="Calibri"/>
                <w:i/>
                <w:highlight w:val="magenta"/>
              </w:rPr>
            </w:pPr>
            <w:r w:rsidRPr="00E30041">
              <w:rPr>
                <w:rFonts w:cs="Calibri"/>
                <w:i/>
                <w:sz w:val="12"/>
              </w:rPr>
              <w:t>*Government PPG funding for the period from April ’</w:t>
            </w:r>
            <w:r w:rsidR="00581B2A">
              <w:rPr>
                <w:rFonts w:cs="Calibri"/>
                <w:i/>
                <w:sz w:val="12"/>
              </w:rPr>
              <w:t>2</w:t>
            </w:r>
            <w:bookmarkStart w:id="0" w:name="_GoBack"/>
            <w:bookmarkEnd w:id="0"/>
            <w:r w:rsidR="00581B2A">
              <w:rPr>
                <w:rFonts w:cs="Calibri"/>
                <w:i/>
                <w:sz w:val="12"/>
              </w:rPr>
              <w:t xml:space="preserve">0 </w:t>
            </w:r>
            <w:r w:rsidRPr="00E30041">
              <w:rPr>
                <w:rFonts w:cs="Calibri"/>
                <w:i/>
                <w:sz w:val="12"/>
              </w:rPr>
              <w:t xml:space="preserve"> to August ’</w:t>
            </w:r>
            <w:r w:rsidR="00581B2A">
              <w:rPr>
                <w:rFonts w:cs="Calibri"/>
                <w:i/>
                <w:sz w:val="12"/>
              </w:rPr>
              <w:t xml:space="preserve">20 </w:t>
            </w:r>
            <w:r w:rsidRPr="00E30041">
              <w:rPr>
                <w:rFonts w:cs="Calibri"/>
                <w:i/>
                <w:sz w:val="12"/>
              </w:rPr>
              <w:t xml:space="preserve"> has not yet been announced but indications are that PPG funding will remain protected</w:t>
            </w:r>
          </w:p>
        </w:tc>
      </w:tr>
      <w:tr w:rsidR="00AB67E5" w:rsidRPr="00AE5C8B" w14:paraId="27BDD707" w14:textId="77777777" w:rsidTr="00E510AA">
        <w:tc>
          <w:tcPr>
            <w:tcW w:w="5949" w:type="dxa"/>
            <w:gridSpan w:val="2"/>
            <w:shd w:val="clear" w:color="auto" w:fill="auto"/>
            <w:tcMar>
              <w:top w:w="57" w:type="dxa"/>
              <w:bottom w:w="57" w:type="dxa"/>
            </w:tcMar>
          </w:tcPr>
          <w:p w14:paraId="3A4E637D" w14:textId="77777777" w:rsidR="00AB67E5" w:rsidRPr="00AE5C8B" w:rsidRDefault="00AB67E5" w:rsidP="00E510AA">
            <w:pPr>
              <w:rPr>
                <w:rFonts w:cs="Calibri"/>
                <w:b/>
              </w:rPr>
            </w:pPr>
            <w:r w:rsidRPr="00AE5C8B">
              <w:rPr>
                <w:rFonts w:cs="Calibri"/>
                <w:b/>
              </w:rPr>
              <w:t>Early Years’ Pupil Premium</w:t>
            </w:r>
          </w:p>
        </w:tc>
        <w:tc>
          <w:tcPr>
            <w:tcW w:w="9468" w:type="dxa"/>
            <w:gridSpan w:val="2"/>
            <w:shd w:val="clear" w:color="auto" w:fill="FFFFFF"/>
            <w:tcMar>
              <w:top w:w="57" w:type="dxa"/>
              <w:bottom w:w="57" w:type="dxa"/>
            </w:tcMar>
            <w:vAlign w:val="center"/>
          </w:tcPr>
          <w:p w14:paraId="6C4B81C2" w14:textId="67765716" w:rsidR="00AB67E5" w:rsidRPr="00F14720" w:rsidRDefault="00E0640E" w:rsidP="00E510AA">
            <w:pPr>
              <w:jc w:val="center"/>
              <w:rPr>
                <w:rFonts w:cs="Calibri"/>
                <w:highlight w:val="magenta"/>
              </w:rPr>
            </w:pPr>
            <w:r w:rsidRPr="00E0640E">
              <w:rPr>
                <w:rFonts w:cs="Calibri"/>
              </w:rPr>
              <w:t>Nil</w:t>
            </w:r>
          </w:p>
        </w:tc>
      </w:tr>
      <w:tr w:rsidR="00AB67E5" w:rsidRPr="00AE5C8B" w14:paraId="54069B12" w14:textId="77777777" w:rsidTr="00E510AA">
        <w:tc>
          <w:tcPr>
            <w:tcW w:w="5949" w:type="dxa"/>
            <w:gridSpan w:val="2"/>
            <w:shd w:val="clear" w:color="auto" w:fill="auto"/>
            <w:tcMar>
              <w:top w:w="57" w:type="dxa"/>
              <w:bottom w:w="57" w:type="dxa"/>
            </w:tcMar>
          </w:tcPr>
          <w:p w14:paraId="38EF0295" w14:textId="77777777" w:rsidR="00AB67E5" w:rsidRPr="00AE5C8B" w:rsidRDefault="00AB67E5" w:rsidP="00E510AA">
            <w:pPr>
              <w:rPr>
                <w:rFonts w:cs="Calibri"/>
                <w:b/>
              </w:rPr>
            </w:pPr>
            <w:r w:rsidRPr="00AE5C8B">
              <w:rPr>
                <w:rFonts w:cs="Calibri"/>
                <w:b/>
              </w:rPr>
              <w:t>LAC Pupil Premium</w:t>
            </w:r>
          </w:p>
        </w:tc>
        <w:tc>
          <w:tcPr>
            <w:tcW w:w="9468" w:type="dxa"/>
            <w:gridSpan w:val="2"/>
            <w:shd w:val="clear" w:color="auto" w:fill="FFFFFF"/>
            <w:tcMar>
              <w:top w:w="57" w:type="dxa"/>
              <w:bottom w:w="57" w:type="dxa"/>
            </w:tcMar>
            <w:vAlign w:val="center"/>
          </w:tcPr>
          <w:p w14:paraId="4442DC34" w14:textId="4FB709A6" w:rsidR="00AB67E5" w:rsidRPr="00F14720" w:rsidRDefault="00E30041" w:rsidP="00E510AA">
            <w:pPr>
              <w:jc w:val="center"/>
              <w:rPr>
                <w:rFonts w:cs="Calibri"/>
                <w:highlight w:val="magenta"/>
              </w:rPr>
            </w:pPr>
            <w:r w:rsidRPr="00E30041">
              <w:rPr>
                <w:rFonts w:cs="Calibri"/>
              </w:rPr>
              <w:t>£2000</w:t>
            </w:r>
          </w:p>
        </w:tc>
      </w:tr>
      <w:tr w:rsidR="00AB67E5" w:rsidRPr="00AE5C8B" w14:paraId="70A4633B" w14:textId="77777777" w:rsidTr="00E510AA">
        <w:tc>
          <w:tcPr>
            <w:tcW w:w="5949" w:type="dxa"/>
            <w:gridSpan w:val="2"/>
            <w:shd w:val="clear" w:color="auto" w:fill="auto"/>
            <w:tcMar>
              <w:top w:w="57" w:type="dxa"/>
              <w:bottom w:w="57" w:type="dxa"/>
            </w:tcMar>
          </w:tcPr>
          <w:p w14:paraId="1C77D5C3" w14:textId="77777777" w:rsidR="00AB67E5" w:rsidRPr="00AE5C8B" w:rsidRDefault="00AB67E5" w:rsidP="00E510AA">
            <w:pPr>
              <w:rPr>
                <w:rFonts w:cs="Calibri"/>
                <w:b/>
              </w:rPr>
            </w:pPr>
            <w:r w:rsidRPr="00AE5C8B">
              <w:rPr>
                <w:rFonts w:cs="Calibri"/>
                <w:b/>
              </w:rPr>
              <w:t>Expected Pupil Premium</w:t>
            </w:r>
          </w:p>
        </w:tc>
        <w:tc>
          <w:tcPr>
            <w:tcW w:w="9468" w:type="dxa"/>
            <w:gridSpan w:val="2"/>
            <w:shd w:val="clear" w:color="auto" w:fill="FFFFFF"/>
            <w:tcMar>
              <w:top w:w="57" w:type="dxa"/>
              <w:bottom w:w="57" w:type="dxa"/>
            </w:tcMar>
            <w:vAlign w:val="center"/>
          </w:tcPr>
          <w:p w14:paraId="3C50539C" w14:textId="7F149340" w:rsidR="00AB67E5" w:rsidRPr="00F14720" w:rsidRDefault="00AB67E5" w:rsidP="00E30041">
            <w:pPr>
              <w:jc w:val="center"/>
              <w:rPr>
                <w:rFonts w:cs="Calibri"/>
                <w:highlight w:val="magenta"/>
              </w:rPr>
            </w:pPr>
            <w:r w:rsidRPr="00E30041">
              <w:rPr>
                <w:rFonts w:cs="Calibri"/>
              </w:rPr>
              <w:t>£</w:t>
            </w:r>
            <w:r w:rsidR="00E30041">
              <w:rPr>
                <w:rFonts w:cs="Calibri"/>
              </w:rPr>
              <w:t>148,940</w:t>
            </w:r>
          </w:p>
        </w:tc>
      </w:tr>
      <w:tr w:rsidR="00AB67E5" w:rsidRPr="00AE5C8B" w14:paraId="60F4693C" w14:textId="77777777" w:rsidTr="00E510AA">
        <w:tc>
          <w:tcPr>
            <w:tcW w:w="5949" w:type="dxa"/>
            <w:gridSpan w:val="2"/>
            <w:shd w:val="clear" w:color="auto" w:fill="auto"/>
            <w:tcMar>
              <w:top w:w="57" w:type="dxa"/>
              <w:bottom w:w="57" w:type="dxa"/>
            </w:tcMar>
          </w:tcPr>
          <w:p w14:paraId="6D7FCD49" w14:textId="77777777" w:rsidR="00AB67E5" w:rsidRPr="00AE5C8B" w:rsidRDefault="00AB67E5" w:rsidP="00E510AA">
            <w:pPr>
              <w:rPr>
                <w:rFonts w:cs="Calibri"/>
                <w:b/>
              </w:rPr>
            </w:pPr>
            <w:r w:rsidRPr="00AE5C8B">
              <w:rPr>
                <w:rFonts w:cs="Calibri"/>
                <w:b/>
              </w:rPr>
              <w:t>Main barriers to educational achievement</w:t>
            </w:r>
          </w:p>
        </w:tc>
        <w:tc>
          <w:tcPr>
            <w:tcW w:w="9468" w:type="dxa"/>
            <w:gridSpan w:val="2"/>
            <w:shd w:val="clear" w:color="auto" w:fill="FFFFFF"/>
            <w:tcMar>
              <w:top w:w="57" w:type="dxa"/>
              <w:bottom w:w="57" w:type="dxa"/>
            </w:tcMar>
            <w:vAlign w:val="center"/>
          </w:tcPr>
          <w:p w14:paraId="5AF3574A" w14:textId="24A15B2E" w:rsidR="00AB67E5" w:rsidRPr="00AE5C8B" w:rsidRDefault="00AB67E5" w:rsidP="00AB67E5">
            <w:pPr>
              <w:pStyle w:val="ListParagraph"/>
              <w:numPr>
                <w:ilvl w:val="0"/>
                <w:numId w:val="3"/>
              </w:numPr>
              <w:rPr>
                <w:rFonts w:cs="Calibri"/>
              </w:rPr>
            </w:pPr>
            <w:r w:rsidRPr="00AE5C8B">
              <w:rPr>
                <w:rFonts w:cs="Calibri"/>
              </w:rPr>
              <w:t>Academically low starting points</w:t>
            </w:r>
            <w:r w:rsidR="00581B2A">
              <w:rPr>
                <w:rFonts w:cs="Calibri"/>
              </w:rPr>
              <w:t>;</w:t>
            </w:r>
            <w:r w:rsidR="00F14720">
              <w:rPr>
                <w:rFonts w:cs="Calibri"/>
              </w:rPr>
              <w:t xml:space="preserve"> sometimes, very-low</w:t>
            </w:r>
          </w:p>
          <w:p w14:paraId="44688FC5" w14:textId="19CBA3CC" w:rsidR="00AB67E5" w:rsidRPr="00AE5C8B" w:rsidRDefault="00AB67E5" w:rsidP="00AB67E5">
            <w:pPr>
              <w:pStyle w:val="ListParagraph"/>
              <w:numPr>
                <w:ilvl w:val="0"/>
                <w:numId w:val="3"/>
              </w:numPr>
              <w:rPr>
                <w:rFonts w:cs="Calibri"/>
              </w:rPr>
            </w:pPr>
            <w:r w:rsidRPr="00AE5C8B">
              <w:rPr>
                <w:rFonts w:cs="Calibri"/>
              </w:rPr>
              <w:t>Social and emotional challenges</w:t>
            </w:r>
            <w:r w:rsidR="00F14720">
              <w:rPr>
                <w:rFonts w:cs="Calibri"/>
              </w:rPr>
              <w:t xml:space="preserve">, barriers and </w:t>
            </w:r>
            <w:r w:rsidR="005B5102">
              <w:rPr>
                <w:rFonts w:cs="Calibri"/>
              </w:rPr>
              <w:t xml:space="preserve">associated </w:t>
            </w:r>
            <w:r w:rsidR="00F14720">
              <w:rPr>
                <w:rFonts w:cs="Calibri"/>
              </w:rPr>
              <w:t>mental-health</w:t>
            </w:r>
            <w:r w:rsidR="005B5102">
              <w:rPr>
                <w:rFonts w:cs="Calibri"/>
              </w:rPr>
              <w:t xml:space="preserve"> challenges</w:t>
            </w:r>
          </w:p>
          <w:p w14:paraId="7A6042E4" w14:textId="2BF716B1" w:rsidR="00AB67E5" w:rsidRPr="00AE5C8B" w:rsidRDefault="00AB67E5" w:rsidP="00AB67E5">
            <w:pPr>
              <w:pStyle w:val="ListParagraph"/>
              <w:numPr>
                <w:ilvl w:val="0"/>
                <w:numId w:val="3"/>
              </w:numPr>
              <w:rPr>
                <w:rFonts w:cs="Calibri"/>
              </w:rPr>
            </w:pPr>
            <w:r w:rsidRPr="00AE5C8B">
              <w:rPr>
                <w:rFonts w:cs="Calibri"/>
              </w:rPr>
              <w:t>Parental</w:t>
            </w:r>
            <w:r w:rsidR="00581B2A">
              <w:rPr>
                <w:rFonts w:cs="Calibri"/>
              </w:rPr>
              <w:t>/Carer</w:t>
            </w:r>
            <w:r w:rsidRPr="00AE5C8B">
              <w:rPr>
                <w:rFonts w:cs="Calibri"/>
              </w:rPr>
              <w:t xml:space="preserve"> engagement</w:t>
            </w:r>
            <w:r w:rsidR="00F14720">
              <w:rPr>
                <w:rFonts w:cs="Calibri"/>
              </w:rPr>
              <w:t xml:space="preserve"> and support</w:t>
            </w:r>
          </w:p>
          <w:p w14:paraId="59F32C39" w14:textId="4B6FE657" w:rsidR="00AB67E5" w:rsidRPr="00AE5C8B" w:rsidRDefault="00AB67E5" w:rsidP="00AB67E5">
            <w:pPr>
              <w:pStyle w:val="ListParagraph"/>
              <w:numPr>
                <w:ilvl w:val="0"/>
                <w:numId w:val="3"/>
              </w:numPr>
              <w:rPr>
                <w:rFonts w:cs="Calibri"/>
              </w:rPr>
            </w:pPr>
            <w:r w:rsidRPr="00AE5C8B">
              <w:rPr>
                <w:rFonts w:cs="Calibri"/>
              </w:rPr>
              <w:t>Very limited aspiration</w:t>
            </w:r>
            <w:r w:rsidR="00F14720">
              <w:rPr>
                <w:rFonts w:cs="Calibri"/>
              </w:rPr>
              <w:t xml:space="preserve"> – often generational</w:t>
            </w:r>
          </w:p>
        </w:tc>
      </w:tr>
      <w:tr w:rsidR="00AB67E5" w:rsidRPr="00AE5C8B" w14:paraId="1D57B21D" w14:textId="77777777" w:rsidTr="00E510AA">
        <w:tc>
          <w:tcPr>
            <w:tcW w:w="15417" w:type="dxa"/>
            <w:gridSpan w:val="4"/>
            <w:shd w:val="clear" w:color="auto" w:fill="CCC0D9"/>
            <w:tcMar>
              <w:top w:w="57" w:type="dxa"/>
              <w:bottom w:w="57" w:type="dxa"/>
            </w:tcMar>
          </w:tcPr>
          <w:p w14:paraId="1B761D88" w14:textId="77777777" w:rsidR="00AB67E5" w:rsidRPr="00AE5C8B" w:rsidRDefault="00AB67E5" w:rsidP="00AB67E5">
            <w:pPr>
              <w:pStyle w:val="ListParagraph"/>
              <w:numPr>
                <w:ilvl w:val="0"/>
                <w:numId w:val="1"/>
              </w:numPr>
              <w:rPr>
                <w:rFonts w:cs="Calibri"/>
                <w:b/>
              </w:rPr>
            </w:pPr>
            <w:r w:rsidRPr="00AE5C8B">
              <w:rPr>
                <w:rFonts w:cs="Calibri"/>
                <w:b/>
              </w:rPr>
              <w:t>Intended Impact:</w:t>
            </w:r>
          </w:p>
        </w:tc>
      </w:tr>
      <w:tr w:rsidR="00AB67E5" w:rsidRPr="00AE5C8B" w14:paraId="4BF2AE47" w14:textId="77777777" w:rsidTr="00E510AA">
        <w:tc>
          <w:tcPr>
            <w:tcW w:w="15417" w:type="dxa"/>
            <w:gridSpan w:val="4"/>
            <w:shd w:val="clear" w:color="auto" w:fill="auto"/>
            <w:tcMar>
              <w:top w:w="57" w:type="dxa"/>
              <w:bottom w:w="57" w:type="dxa"/>
            </w:tcMar>
          </w:tcPr>
          <w:p w14:paraId="4858D5DB" w14:textId="77777777" w:rsidR="00AB67E5" w:rsidRPr="00AE5C8B" w:rsidRDefault="00AB67E5" w:rsidP="00AB67E5">
            <w:pPr>
              <w:pStyle w:val="ListParagraph"/>
              <w:numPr>
                <w:ilvl w:val="0"/>
                <w:numId w:val="4"/>
              </w:numPr>
              <w:rPr>
                <w:rFonts w:cs="Calibri"/>
              </w:rPr>
            </w:pPr>
            <w:r w:rsidRPr="00AE5C8B">
              <w:rPr>
                <w:rFonts w:cs="Calibri"/>
              </w:rPr>
              <w:t>To reduce the in-school attainment gap between disadvantaged and non-disadvantaged at age-related expectations in reading, writing and maths through HQFT and targeted intervention</w:t>
            </w:r>
          </w:p>
          <w:p w14:paraId="13110BCD" w14:textId="77777777" w:rsidR="00AB67E5" w:rsidRPr="00AE5C8B" w:rsidRDefault="00AB67E5" w:rsidP="00AB67E5">
            <w:pPr>
              <w:pStyle w:val="ListParagraph"/>
              <w:numPr>
                <w:ilvl w:val="0"/>
                <w:numId w:val="4"/>
              </w:numPr>
              <w:rPr>
                <w:rFonts w:cs="Calibri"/>
              </w:rPr>
            </w:pPr>
            <w:r w:rsidRPr="00AE5C8B">
              <w:rPr>
                <w:rFonts w:cs="Calibri"/>
              </w:rPr>
              <w:t>To continue to diminish the attainment gap with national ‘other’ at Key Stage 1</w:t>
            </w:r>
          </w:p>
          <w:p w14:paraId="0FFE77C4" w14:textId="06205369" w:rsidR="00AB67E5" w:rsidRPr="00AE5C8B" w:rsidRDefault="00AB67E5" w:rsidP="00AB67E5">
            <w:pPr>
              <w:pStyle w:val="ListParagraph"/>
              <w:numPr>
                <w:ilvl w:val="0"/>
                <w:numId w:val="4"/>
              </w:numPr>
              <w:rPr>
                <w:rFonts w:cs="Calibri"/>
              </w:rPr>
            </w:pPr>
            <w:r w:rsidRPr="00AE5C8B">
              <w:rPr>
                <w:rFonts w:cs="Calibri"/>
              </w:rPr>
              <w:t xml:space="preserve">To continue to diminish the attainment gap with national ‘other’ at Key Stage 2, and </w:t>
            </w:r>
            <w:r w:rsidR="00F14720">
              <w:rPr>
                <w:rFonts w:cs="Calibri"/>
              </w:rPr>
              <w:t xml:space="preserve">to ensure </w:t>
            </w:r>
            <w:r w:rsidRPr="00AE5C8B">
              <w:rPr>
                <w:rFonts w:cs="Calibri"/>
              </w:rPr>
              <w:t xml:space="preserve">progress moves closer to </w:t>
            </w:r>
            <w:r w:rsidR="00F14720">
              <w:rPr>
                <w:rFonts w:cs="Calibri"/>
              </w:rPr>
              <w:t xml:space="preserve">being in-line with </w:t>
            </w:r>
            <w:r w:rsidRPr="00AE5C8B">
              <w:rPr>
                <w:rFonts w:cs="Calibri"/>
              </w:rPr>
              <w:t>national</w:t>
            </w:r>
          </w:p>
          <w:p w14:paraId="304547D6" w14:textId="5B4F3D06" w:rsidR="00AB67E5" w:rsidRPr="00AE5C8B" w:rsidRDefault="00AB67E5" w:rsidP="00AB67E5">
            <w:pPr>
              <w:pStyle w:val="ListParagraph"/>
              <w:numPr>
                <w:ilvl w:val="0"/>
                <w:numId w:val="4"/>
              </w:numPr>
              <w:rPr>
                <w:rFonts w:cs="Calibri"/>
              </w:rPr>
            </w:pPr>
            <w:r w:rsidRPr="00AE5C8B">
              <w:rPr>
                <w:rFonts w:cs="Calibri"/>
              </w:rPr>
              <w:t xml:space="preserve">To provide academic extended school opportunities so gaps in pupil knowledge </w:t>
            </w:r>
            <w:r w:rsidR="00F14720">
              <w:rPr>
                <w:rFonts w:cs="Calibri"/>
              </w:rPr>
              <w:t xml:space="preserve">are </w:t>
            </w:r>
            <w:r w:rsidRPr="00AE5C8B">
              <w:rPr>
                <w:rFonts w:cs="Calibri"/>
              </w:rPr>
              <w:t>targeted in order for pupils to make good or better progress throughout the year</w:t>
            </w:r>
          </w:p>
          <w:p w14:paraId="6CE1A7F8" w14:textId="168733DD" w:rsidR="00AB67E5" w:rsidRPr="00AE5C8B" w:rsidRDefault="00AB67E5" w:rsidP="00AB67E5">
            <w:pPr>
              <w:pStyle w:val="ListParagraph"/>
              <w:numPr>
                <w:ilvl w:val="0"/>
                <w:numId w:val="4"/>
              </w:numPr>
              <w:rPr>
                <w:rFonts w:cs="Calibri"/>
              </w:rPr>
            </w:pPr>
            <w:r w:rsidRPr="00AE5C8B">
              <w:rPr>
                <w:rFonts w:cs="Calibri"/>
              </w:rPr>
              <w:t xml:space="preserve">To increase the number of experiences </w:t>
            </w:r>
            <w:r w:rsidR="00F14720">
              <w:rPr>
                <w:rFonts w:cs="Calibri"/>
              </w:rPr>
              <w:t xml:space="preserve">on offer </w:t>
            </w:r>
            <w:r w:rsidRPr="00AE5C8B">
              <w:rPr>
                <w:rFonts w:cs="Calibri"/>
              </w:rPr>
              <w:t>to allow disadvantaged pupils, including the more-able</w:t>
            </w:r>
            <w:r w:rsidR="00F14720">
              <w:rPr>
                <w:rFonts w:cs="Calibri"/>
              </w:rPr>
              <w:t>,</w:t>
            </w:r>
            <w:r w:rsidRPr="00AE5C8B">
              <w:rPr>
                <w:rFonts w:cs="Calibri"/>
              </w:rPr>
              <w:t xml:space="preserve"> to have access to enriching and motivational experiences</w:t>
            </w:r>
            <w:r w:rsidR="00F14720">
              <w:rPr>
                <w:rFonts w:cs="Calibri"/>
              </w:rPr>
              <w:t xml:space="preserve"> both</w:t>
            </w:r>
            <w:r w:rsidRPr="00AE5C8B">
              <w:rPr>
                <w:rFonts w:cs="Calibri"/>
              </w:rPr>
              <w:t xml:space="preserve"> in and out of school</w:t>
            </w:r>
          </w:p>
          <w:p w14:paraId="27F5BD05" w14:textId="0931AB1B" w:rsidR="00AB67E5" w:rsidRPr="00AE5C8B" w:rsidRDefault="00AB67E5" w:rsidP="00AB67E5">
            <w:pPr>
              <w:pStyle w:val="ListParagraph"/>
              <w:numPr>
                <w:ilvl w:val="0"/>
                <w:numId w:val="4"/>
              </w:numPr>
              <w:rPr>
                <w:rFonts w:cs="Calibri"/>
              </w:rPr>
            </w:pPr>
            <w:r w:rsidRPr="00AE5C8B">
              <w:rPr>
                <w:rFonts w:cs="Calibri"/>
              </w:rPr>
              <w:t xml:space="preserve">To provide a range of services </w:t>
            </w:r>
            <w:r w:rsidR="00F14720">
              <w:rPr>
                <w:rFonts w:cs="Calibri"/>
              </w:rPr>
              <w:t xml:space="preserve">to all, but especially </w:t>
            </w:r>
            <w:r w:rsidRPr="00AE5C8B">
              <w:rPr>
                <w:rFonts w:cs="Calibri"/>
              </w:rPr>
              <w:t>available to disadvantaged pupils and their families to further support their living circumstances, health</w:t>
            </w:r>
            <w:r w:rsidR="00F14720">
              <w:rPr>
                <w:rFonts w:cs="Calibri"/>
              </w:rPr>
              <w:t>, including mental-health,</w:t>
            </w:r>
            <w:r w:rsidRPr="00AE5C8B">
              <w:rPr>
                <w:rFonts w:cs="Calibri"/>
              </w:rPr>
              <w:t xml:space="preserve"> and well-being</w:t>
            </w:r>
          </w:p>
          <w:p w14:paraId="19614043" w14:textId="4F7D3147" w:rsidR="00AB67E5" w:rsidRPr="00AE5C8B" w:rsidRDefault="00AB67E5" w:rsidP="00AB67E5">
            <w:pPr>
              <w:pStyle w:val="ListParagraph"/>
              <w:numPr>
                <w:ilvl w:val="0"/>
                <w:numId w:val="4"/>
              </w:numPr>
              <w:rPr>
                <w:rFonts w:cs="Calibri"/>
              </w:rPr>
            </w:pPr>
            <w:r w:rsidRPr="00AE5C8B">
              <w:rPr>
                <w:rFonts w:cs="Calibri"/>
              </w:rPr>
              <w:t>To continue to build strong home-school relationships with disadvantaged families and build on their experiences, through workshops, enriching opportunities, social activities and home-school links</w:t>
            </w:r>
            <w:r w:rsidR="00F14720">
              <w:rPr>
                <w:rFonts w:cs="Calibri"/>
              </w:rPr>
              <w:t>, including parenting groups and the Freedom programme</w:t>
            </w:r>
          </w:p>
          <w:p w14:paraId="42EAFCD7" w14:textId="5EE4AC15" w:rsidR="00AB67E5" w:rsidRPr="00AE5C8B" w:rsidRDefault="00AB67E5" w:rsidP="00AB67E5">
            <w:pPr>
              <w:pStyle w:val="ListParagraph"/>
              <w:numPr>
                <w:ilvl w:val="0"/>
                <w:numId w:val="4"/>
              </w:numPr>
              <w:rPr>
                <w:rFonts w:cs="Calibri"/>
              </w:rPr>
            </w:pPr>
            <w:r w:rsidRPr="00AE5C8B">
              <w:rPr>
                <w:rFonts w:cs="Calibri"/>
              </w:rPr>
              <w:lastRenderedPageBreak/>
              <w:t xml:space="preserve">To further increase the attendance and punctuality of </w:t>
            </w:r>
            <w:r w:rsidR="00F14720">
              <w:rPr>
                <w:rFonts w:cs="Calibri"/>
              </w:rPr>
              <w:t xml:space="preserve">all </w:t>
            </w:r>
            <w:r w:rsidRPr="00AE5C8B">
              <w:rPr>
                <w:rFonts w:cs="Calibri"/>
              </w:rPr>
              <w:t>pupils through increased monitoring and engagement with vulnerable disadvantaged families</w:t>
            </w:r>
            <w:r w:rsidR="00F14720">
              <w:rPr>
                <w:rFonts w:cs="Calibri"/>
              </w:rPr>
              <w:t>, and others</w:t>
            </w:r>
          </w:p>
        </w:tc>
      </w:tr>
      <w:tr w:rsidR="00AB67E5" w:rsidRPr="00AE5C8B" w14:paraId="0F72660D" w14:textId="77777777" w:rsidTr="00E510AA">
        <w:tc>
          <w:tcPr>
            <w:tcW w:w="15417" w:type="dxa"/>
            <w:gridSpan w:val="4"/>
            <w:shd w:val="clear" w:color="auto" w:fill="CCC0D9"/>
            <w:tcMar>
              <w:top w:w="57" w:type="dxa"/>
              <w:bottom w:w="57" w:type="dxa"/>
            </w:tcMar>
          </w:tcPr>
          <w:p w14:paraId="3814C265" w14:textId="58D73EF5" w:rsidR="00AB67E5" w:rsidRPr="00AE5C8B" w:rsidRDefault="00AB67E5" w:rsidP="00AB67E5">
            <w:pPr>
              <w:pStyle w:val="ListParagraph"/>
              <w:numPr>
                <w:ilvl w:val="0"/>
                <w:numId w:val="1"/>
              </w:numPr>
              <w:rPr>
                <w:rFonts w:cs="Calibri"/>
                <w:b/>
              </w:rPr>
            </w:pPr>
            <w:r w:rsidRPr="00AE5C8B">
              <w:rPr>
                <w:rFonts w:cs="Calibri"/>
                <w:b/>
              </w:rPr>
              <w:lastRenderedPageBreak/>
              <w:t>Spending Plans for 201</w:t>
            </w:r>
            <w:r w:rsidR="00F14720">
              <w:rPr>
                <w:rFonts w:cs="Calibri"/>
                <w:b/>
              </w:rPr>
              <w:t>9</w:t>
            </w:r>
            <w:r w:rsidRPr="00AE5C8B">
              <w:rPr>
                <w:rFonts w:cs="Calibri"/>
                <w:b/>
              </w:rPr>
              <w:t>-</w:t>
            </w:r>
            <w:r w:rsidR="00F14720">
              <w:rPr>
                <w:rFonts w:cs="Calibri"/>
                <w:b/>
              </w:rPr>
              <w:t>20</w:t>
            </w:r>
          </w:p>
        </w:tc>
      </w:tr>
      <w:tr w:rsidR="00AB67E5" w:rsidRPr="00AE5C8B" w14:paraId="32380978" w14:textId="77777777" w:rsidTr="00E510AA">
        <w:tc>
          <w:tcPr>
            <w:tcW w:w="15417" w:type="dxa"/>
            <w:gridSpan w:val="4"/>
            <w:shd w:val="clear" w:color="auto" w:fill="auto"/>
            <w:tcMar>
              <w:top w:w="57" w:type="dxa"/>
              <w:bottom w:w="57" w:type="dxa"/>
            </w:tcMar>
          </w:tcPr>
          <w:p w14:paraId="32C1AD88" w14:textId="77777777" w:rsidR="00AB67E5" w:rsidRPr="00AE5C8B" w:rsidRDefault="00AB67E5" w:rsidP="00E510AA">
            <w:pPr>
              <w:rPr>
                <w:rFonts w:cs="Calibri"/>
                <w:b/>
              </w:rPr>
            </w:pPr>
            <w:r w:rsidRPr="00AE5C8B">
              <w:rPr>
                <w:rFonts w:cs="Calibri"/>
                <w:b/>
              </w:rPr>
              <w:t>Attainment and Progress:</w:t>
            </w:r>
          </w:p>
          <w:p w14:paraId="4B2B05B5" w14:textId="57852A35" w:rsidR="00AB67E5" w:rsidRPr="00AE5C8B" w:rsidRDefault="00AB67E5" w:rsidP="00E510AA">
            <w:pPr>
              <w:rPr>
                <w:rFonts w:cs="Calibri"/>
              </w:rPr>
            </w:pPr>
            <w:r w:rsidRPr="00AE5C8B">
              <w:rPr>
                <w:rFonts w:cs="Calibri"/>
              </w:rPr>
              <w:t xml:space="preserve">Support underachieving pupils in English and Maths by providing </w:t>
            </w:r>
            <w:r w:rsidR="00F14720">
              <w:rPr>
                <w:rFonts w:cs="Calibri"/>
              </w:rPr>
              <w:t>high-</w:t>
            </w:r>
            <w:r w:rsidRPr="00AE5C8B">
              <w:rPr>
                <w:rFonts w:cs="Calibri"/>
              </w:rPr>
              <w:t>quality first teaching</w:t>
            </w:r>
            <w:r w:rsidR="00F14720">
              <w:rPr>
                <w:rFonts w:cs="Calibri"/>
              </w:rPr>
              <w:t xml:space="preserve"> staff in every classroom</w:t>
            </w:r>
            <w:r w:rsidRPr="00AE5C8B">
              <w:rPr>
                <w:rFonts w:cs="Calibri"/>
              </w:rPr>
              <w:t>, supported by well-trained classroom support staff</w:t>
            </w:r>
          </w:p>
          <w:p w14:paraId="4C86DFA6" w14:textId="5CC017EE" w:rsidR="00AB67E5" w:rsidRDefault="00F14720" w:rsidP="00E510AA">
            <w:pPr>
              <w:rPr>
                <w:rFonts w:cs="Calibri"/>
              </w:rPr>
            </w:pPr>
            <w:r>
              <w:rPr>
                <w:rFonts w:cs="Calibri"/>
              </w:rPr>
              <w:t>Designated HLTA/C</w:t>
            </w:r>
            <w:r w:rsidR="00AB67E5" w:rsidRPr="00AE5C8B">
              <w:rPr>
                <w:rFonts w:cs="Calibri"/>
              </w:rPr>
              <w:t xml:space="preserve">over </w:t>
            </w:r>
            <w:r>
              <w:rPr>
                <w:rFonts w:cs="Calibri"/>
              </w:rPr>
              <w:t>S</w:t>
            </w:r>
            <w:r w:rsidR="00AB67E5" w:rsidRPr="00AE5C8B">
              <w:rPr>
                <w:rFonts w:cs="Calibri"/>
              </w:rPr>
              <w:t xml:space="preserve">upervisor </w:t>
            </w:r>
            <w:r>
              <w:rPr>
                <w:rFonts w:cs="Calibri"/>
              </w:rPr>
              <w:t>f</w:t>
            </w:r>
            <w:r w:rsidR="00AB67E5" w:rsidRPr="00AE5C8B">
              <w:rPr>
                <w:rFonts w:cs="Calibri"/>
              </w:rPr>
              <w:t xml:space="preserve">or </w:t>
            </w:r>
            <w:r>
              <w:rPr>
                <w:rFonts w:cs="Calibri"/>
              </w:rPr>
              <w:t xml:space="preserve">leaders’/teachers’ release and </w:t>
            </w:r>
            <w:r w:rsidR="00AB67E5" w:rsidRPr="00AE5C8B">
              <w:rPr>
                <w:rFonts w:cs="Calibri"/>
              </w:rPr>
              <w:t>targeted small group teaching</w:t>
            </w:r>
            <w:r>
              <w:rPr>
                <w:rFonts w:cs="Calibri"/>
              </w:rPr>
              <w:t xml:space="preserve"> in Phase 1 (EYFS)</w:t>
            </w:r>
          </w:p>
          <w:p w14:paraId="0DA59C3A" w14:textId="21F23579" w:rsidR="00F14720" w:rsidRDefault="00F14720" w:rsidP="00F14720">
            <w:pPr>
              <w:rPr>
                <w:rFonts w:cs="Calibri"/>
              </w:rPr>
            </w:pPr>
            <w:r>
              <w:rPr>
                <w:rFonts w:cs="Calibri"/>
              </w:rPr>
              <w:t>Designated HLTA/C</w:t>
            </w:r>
            <w:r w:rsidRPr="00AE5C8B">
              <w:rPr>
                <w:rFonts w:cs="Calibri"/>
              </w:rPr>
              <w:t xml:space="preserve">over </w:t>
            </w:r>
            <w:r>
              <w:rPr>
                <w:rFonts w:cs="Calibri"/>
              </w:rPr>
              <w:t>S</w:t>
            </w:r>
            <w:r w:rsidRPr="00AE5C8B">
              <w:rPr>
                <w:rFonts w:cs="Calibri"/>
              </w:rPr>
              <w:t xml:space="preserve">upervisor </w:t>
            </w:r>
            <w:r>
              <w:rPr>
                <w:rFonts w:cs="Calibri"/>
              </w:rPr>
              <w:t>f</w:t>
            </w:r>
            <w:r w:rsidRPr="00AE5C8B">
              <w:rPr>
                <w:rFonts w:cs="Calibri"/>
              </w:rPr>
              <w:t xml:space="preserve">or </w:t>
            </w:r>
            <w:r>
              <w:rPr>
                <w:rFonts w:cs="Calibri"/>
              </w:rPr>
              <w:t xml:space="preserve">leaders’/teachers’ release and </w:t>
            </w:r>
            <w:r w:rsidRPr="00AE5C8B">
              <w:rPr>
                <w:rFonts w:cs="Calibri"/>
              </w:rPr>
              <w:t>targeted small group teaching</w:t>
            </w:r>
            <w:r>
              <w:rPr>
                <w:rFonts w:cs="Calibri"/>
              </w:rPr>
              <w:t xml:space="preserve"> in Phase 2 (Key Stage 1 – Years 1 and 2)</w:t>
            </w:r>
          </w:p>
          <w:p w14:paraId="25671D70" w14:textId="71B2B3E2" w:rsidR="00F14720" w:rsidRDefault="00F14720" w:rsidP="00F14720">
            <w:pPr>
              <w:rPr>
                <w:rFonts w:cs="Calibri"/>
              </w:rPr>
            </w:pPr>
            <w:r>
              <w:rPr>
                <w:rFonts w:cs="Calibri"/>
              </w:rPr>
              <w:t>Designated HLTA/C</w:t>
            </w:r>
            <w:r w:rsidRPr="00AE5C8B">
              <w:rPr>
                <w:rFonts w:cs="Calibri"/>
              </w:rPr>
              <w:t xml:space="preserve">over </w:t>
            </w:r>
            <w:r>
              <w:rPr>
                <w:rFonts w:cs="Calibri"/>
              </w:rPr>
              <w:t>S</w:t>
            </w:r>
            <w:r w:rsidRPr="00AE5C8B">
              <w:rPr>
                <w:rFonts w:cs="Calibri"/>
              </w:rPr>
              <w:t xml:space="preserve">upervisor </w:t>
            </w:r>
            <w:r>
              <w:rPr>
                <w:rFonts w:cs="Calibri"/>
              </w:rPr>
              <w:t>f</w:t>
            </w:r>
            <w:r w:rsidRPr="00AE5C8B">
              <w:rPr>
                <w:rFonts w:cs="Calibri"/>
              </w:rPr>
              <w:t xml:space="preserve">or </w:t>
            </w:r>
            <w:r>
              <w:rPr>
                <w:rFonts w:cs="Calibri"/>
              </w:rPr>
              <w:t xml:space="preserve">leaders’/teachers’ release and </w:t>
            </w:r>
            <w:r w:rsidRPr="00AE5C8B">
              <w:rPr>
                <w:rFonts w:cs="Calibri"/>
              </w:rPr>
              <w:t>targeted small group teaching</w:t>
            </w:r>
            <w:r>
              <w:rPr>
                <w:rFonts w:cs="Calibri"/>
              </w:rPr>
              <w:t xml:space="preserve"> in Phase 3 (Lower Key Stage 2 – Years 3 and 4)</w:t>
            </w:r>
          </w:p>
          <w:p w14:paraId="7FE10649" w14:textId="6C9A059C" w:rsidR="00F14720" w:rsidRDefault="00F14720" w:rsidP="00F14720">
            <w:pPr>
              <w:rPr>
                <w:rFonts w:cs="Calibri"/>
              </w:rPr>
            </w:pPr>
            <w:r>
              <w:rPr>
                <w:rFonts w:cs="Calibri"/>
              </w:rPr>
              <w:t>Designated HLTA/C</w:t>
            </w:r>
            <w:r w:rsidRPr="00AE5C8B">
              <w:rPr>
                <w:rFonts w:cs="Calibri"/>
              </w:rPr>
              <w:t xml:space="preserve">over </w:t>
            </w:r>
            <w:r>
              <w:rPr>
                <w:rFonts w:cs="Calibri"/>
              </w:rPr>
              <w:t>S</w:t>
            </w:r>
            <w:r w:rsidRPr="00AE5C8B">
              <w:rPr>
                <w:rFonts w:cs="Calibri"/>
              </w:rPr>
              <w:t xml:space="preserve">upervisor </w:t>
            </w:r>
            <w:r>
              <w:rPr>
                <w:rFonts w:cs="Calibri"/>
              </w:rPr>
              <w:t>f</w:t>
            </w:r>
            <w:r w:rsidRPr="00AE5C8B">
              <w:rPr>
                <w:rFonts w:cs="Calibri"/>
              </w:rPr>
              <w:t xml:space="preserve">or </w:t>
            </w:r>
            <w:r>
              <w:rPr>
                <w:rFonts w:cs="Calibri"/>
              </w:rPr>
              <w:t xml:space="preserve">leaders’/teachers’ release and </w:t>
            </w:r>
            <w:r w:rsidRPr="00AE5C8B">
              <w:rPr>
                <w:rFonts w:cs="Calibri"/>
              </w:rPr>
              <w:t>targeted small group teaching</w:t>
            </w:r>
            <w:r>
              <w:rPr>
                <w:rFonts w:cs="Calibri"/>
              </w:rPr>
              <w:t xml:space="preserve"> in Phase 4 (Upper Key Stage 2 – Years 5 and 6)</w:t>
            </w:r>
          </w:p>
          <w:p w14:paraId="6D3EB68C" w14:textId="2265FEFC" w:rsidR="00AB67E5" w:rsidRPr="00AE5C8B" w:rsidRDefault="00AB67E5" w:rsidP="00E510AA">
            <w:pPr>
              <w:rPr>
                <w:rFonts w:cs="Calibri"/>
              </w:rPr>
            </w:pPr>
            <w:r w:rsidRPr="00AE5C8B">
              <w:rPr>
                <w:rFonts w:cs="Calibri"/>
              </w:rPr>
              <w:t xml:space="preserve">Additional teacher in </w:t>
            </w:r>
            <w:r w:rsidR="00F14720">
              <w:rPr>
                <w:rFonts w:cs="Calibri"/>
              </w:rPr>
              <w:t>U</w:t>
            </w:r>
            <w:r w:rsidRPr="00AE5C8B">
              <w:rPr>
                <w:rFonts w:cs="Calibri"/>
              </w:rPr>
              <w:t xml:space="preserve">KS2 for </w:t>
            </w:r>
            <w:r w:rsidR="00F14720">
              <w:rPr>
                <w:rFonts w:cs="Calibri"/>
              </w:rPr>
              <w:t>Deputy Head release, and for MFL teaching across the school</w:t>
            </w:r>
          </w:p>
          <w:p w14:paraId="19EE117F" w14:textId="0D8FFF41" w:rsidR="00AB67E5" w:rsidRPr="00AE5C8B" w:rsidRDefault="00F14720" w:rsidP="00E510AA">
            <w:pPr>
              <w:rPr>
                <w:rFonts w:cs="Calibri"/>
              </w:rPr>
            </w:pPr>
            <w:r>
              <w:rPr>
                <w:rFonts w:cs="Calibri"/>
              </w:rPr>
              <w:t xml:space="preserve">Specialist PPA staff </w:t>
            </w:r>
            <w:r w:rsidR="00AB67E5" w:rsidRPr="00AE5C8B">
              <w:rPr>
                <w:rFonts w:cs="Calibri"/>
              </w:rPr>
              <w:t>employed</w:t>
            </w:r>
            <w:r>
              <w:rPr>
                <w:rFonts w:cs="Calibri"/>
              </w:rPr>
              <w:t xml:space="preserve"> (Art, Music and PE)</w:t>
            </w:r>
            <w:r w:rsidR="00AB67E5" w:rsidRPr="00AE5C8B">
              <w:rPr>
                <w:rFonts w:cs="Calibri"/>
              </w:rPr>
              <w:t xml:space="preserve"> to allow </w:t>
            </w:r>
            <w:r>
              <w:rPr>
                <w:rFonts w:cs="Calibri"/>
              </w:rPr>
              <w:t xml:space="preserve">additional </w:t>
            </w:r>
            <w:r w:rsidR="00AB67E5" w:rsidRPr="00AE5C8B">
              <w:rPr>
                <w:rFonts w:cs="Calibri"/>
              </w:rPr>
              <w:t>teacher</w:t>
            </w:r>
            <w:r>
              <w:rPr>
                <w:rFonts w:cs="Calibri"/>
              </w:rPr>
              <w:t>-</w:t>
            </w:r>
            <w:r w:rsidR="00AB67E5" w:rsidRPr="00AE5C8B">
              <w:rPr>
                <w:rFonts w:cs="Calibri"/>
              </w:rPr>
              <w:t>led targeted interventions (</w:t>
            </w:r>
            <w:r>
              <w:rPr>
                <w:rFonts w:cs="Calibri"/>
              </w:rPr>
              <w:t xml:space="preserve">in </w:t>
            </w:r>
            <w:r w:rsidR="00AB67E5" w:rsidRPr="00AE5C8B">
              <w:rPr>
                <w:rFonts w:cs="Calibri"/>
              </w:rPr>
              <w:t>core subjects)</w:t>
            </w:r>
          </w:p>
          <w:p w14:paraId="5D21F9B2" w14:textId="2FC770EB" w:rsidR="00AB67E5" w:rsidRPr="00AE5C8B" w:rsidRDefault="00AB67E5" w:rsidP="00E510AA">
            <w:pPr>
              <w:rPr>
                <w:rFonts w:cs="Calibri"/>
              </w:rPr>
            </w:pPr>
            <w:r w:rsidRPr="00AE5C8B">
              <w:rPr>
                <w:rFonts w:cs="Calibri"/>
              </w:rPr>
              <w:t>Tuition for Year 6 disadvantaged pupils</w:t>
            </w:r>
            <w:r w:rsidR="00F14720" w:rsidRPr="00AE5C8B">
              <w:rPr>
                <w:rFonts w:cs="Calibri"/>
              </w:rPr>
              <w:t xml:space="preserve"> </w:t>
            </w:r>
            <w:r w:rsidR="00F14720">
              <w:rPr>
                <w:rFonts w:cs="Calibri"/>
              </w:rPr>
              <w:t xml:space="preserve">at risk of </w:t>
            </w:r>
            <w:r w:rsidR="00F14720" w:rsidRPr="00AE5C8B">
              <w:rPr>
                <w:rFonts w:cs="Calibri"/>
              </w:rPr>
              <w:t>underachieving</w:t>
            </w:r>
          </w:p>
          <w:p w14:paraId="7B750338" w14:textId="7029DCD8" w:rsidR="00AB67E5" w:rsidRPr="00AE5C8B" w:rsidRDefault="00AB67E5" w:rsidP="00E510AA">
            <w:pPr>
              <w:rPr>
                <w:rFonts w:cs="Calibri"/>
              </w:rPr>
            </w:pPr>
            <w:r w:rsidRPr="00AE5C8B">
              <w:rPr>
                <w:rFonts w:cs="Calibri"/>
              </w:rPr>
              <w:t>Target underachieving disadvantaged pupils (in year 6) through additional before</w:t>
            </w:r>
            <w:r w:rsidR="00F14720">
              <w:rPr>
                <w:rFonts w:cs="Calibri"/>
              </w:rPr>
              <w:t>-</w:t>
            </w:r>
            <w:r w:rsidRPr="00AE5C8B">
              <w:rPr>
                <w:rFonts w:cs="Calibri"/>
              </w:rPr>
              <w:t>school sessions, and Saturday school classes and holiday tuition (Spring 2 onwards)</w:t>
            </w:r>
          </w:p>
          <w:p w14:paraId="53096837" w14:textId="03FF3EC3" w:rsidR="00AB67E5" w:rsidRPr="00AE5C8B" w:rsidRDefault="00AB67E5" w:rsidP="00E510AA">
            <w:pPr>
              <w:rPr>
                <w:rFonts w:cs="Calibri"/>
              </w:rPr>
            </w:pPr>
            <w:r w:rsidRPr="00AE5C8B">
              <w:rPr>
                <w:rFonts w:cs="Calibri"/>
              </w:rPr>
              <w:t xml:space="preserve">Targeted </w:t>
            </w:r>
            <w:r w:rsidR="00F14720">
              <w:rPr>
                <w:rFonts w:cs="Calibri"/>
              </w:rPr>
              <w:t xml:space="preserve">before/after-school </w:t>
            </w:r>
            <w:r w:rsidRPr="00AE5C8B">
              <w:rPr>
                <w:rFonts w:cs="Calibri"/>
              </w:rPr>
              <w:t>clubs for disadvantaged pupils including reading, phonics, maths &amp; homework club</w:t>
            </w:r>
          </w:p>
          <w:p w14:paraId="2AEFDCF9" w14:textId="479FCB11" w:rsidR="00AB67E5" w:rsidRDefault="00AB67E5" w:rsidP="00E510AA">
            <w:pPr>
              <w:rPr>
                <w:rFonts w:cs="Calibri"/>
              </w:rPr>
            </w:pPr>
            <w:r w:rsidRPr="00AE5C8B">
              <w:rPr>
                <w:rFonts w:cs="Calibri"/>
              </w:rPr>
              <w:t>Targeted parent</w:t>
            </w:r>
            <w:r w:rsidR="00F14720">
              <w:rPr>
                <w:rFonts w:cs="Calibri"/>
              </w:rPr>
              <w:t>/carer</w:t>
            </w:r>
            <w:r w:rsidRPr="00AE5C8B">
              <w:rPr>
                <w:rFonts w:cs="Calibri"/>
              </w:rPr>
              <w:t xml:space="preserve"> workshops on how to engage and support children in their learning</w:t>
            </w:r>
          </w:p>
          <w:p w14:paraId="583E2B4F" w14:textId="7122E8E9" w:rsidR="00F14720" w:rsidRPr="00AE5C8B" w:rsidRDefault="00F14720" w:rsidP="00E510AA">
            <w:pPr>
              <w:rPr>
                <w:rFonts w:cs="Calibri"/>
              </w:rPr>
            </w:pPr>
            <w:r>
              <w:rPr>
                <w:rFonts w:cs="Calibri"/>
              </w:rPr>
              <w:t>For parents</w:t>
            </w:r>
            <w:r w:rsidR="00531B75">
              <w:rPr>
                <w:rFonts w:cs="Calibri"/>
              </w:rPr>
              <w:t>/carers (and their children)</w:t>
            </w:r>
            <w:r w:rsidR="00581B2A">
              <w:rPr>
                <w:rFonts w:cs="Calibri"/>
              </w:rPr>
              <w:t xml:space="preserve"> </w:t>
            </w:r>
            <w:r w:rsidR="00531B75">
              <w:rPr>
                <w:rFonts w:cs="Calibri"/>
              </w:rPr>
              <w:t>who have experienced Domestic Abuse, run the Freedom Programme</w:t>
            </w:r>
          </w:p>
          <w:p w14:paraId="4EFD11E0" w14:textId="3CD15F67" w:rsidR="00AB67E5" w:rsidRPr="00AE5C8B" w:rsidRDefault="00AB67E5" w:rsidP="00E510AA">
            <w:pPr>
              <w:rPr>
                <w:rFonts w:cs="Calibri"/>
              </w:rPr>
            </w:pPr>
            <w:r w:rsidRPr="00AE5C8B">
              <w:rPr>
                <w:rFonts w:cs="Calibri"/>
              </w:rPr>
              <w:t>Provide aspirational &amp; motivational workshops/experiences</w:t>
            </w:r>
            <w:r w:rsidR="00531B75">
              <w:rPr>
                <w:rFonts w:cs="Calibri"/>
              </w:rPr>
              <w:t xml:space="preserve"> – aligned to our curriculum offer</w:t>
            </w:r>
          </w:p>
          <w:p w14:paraId="5DA39AE9" w14:textId="77777777" w:rsidR="00AB67E5" w:rsidRPr="00AE5C8B" w:rsidRDefault="00AB67E5" w:rsidP="00E510AA">
            <w:pPr>
              <w:rPr>
                <w:rFonts w:cs="Calibri"/>
              </w:rPr>
            </w:pPr>
            <w:r w:rsidRPr="00AE5C8B">
              <w:rPr>
                <w:rFonts w:cs="Calibri"/>
              </w:rPr>
              <w:t>Parent/Carer ‘Stay &amp; Play’ sessions in EYFS, KS1</w:t>
            </w:r>
          </w:p>
          <w:p w14:paraId="687AC2FF" w14:textId="4745D912" w:rsidR="00AB67E5" w:rsidRDefault="00AB67E5" w:rsidP="00E510AA">
            <w:pPr>
              <w:rPr>
                <w:rFonts w:cs="Calibri"/>
              </w:rPr>
            </w:pPr>
            <w:r w:rsidRPr="00AE5C8B">
              <w:rPr>
                <w:rFonts w:cs="Calibri"/>
              </w:rPr>
              <w:t>Library Visits</w:t>
            </w:r>
          </w:p>
          <w:p w14:paraId="5DA57289" w14:textId="173C76B7" w:rsidR="00531B75" w:rsidRDefault="00531B75" w:rsidP="00E510AA">
            <w:pPr>
              <w:rPr>
                <w:rFonts w:cs="Calibri"/>
              </w:rPr>
            </w:pPr>
            <w:r>
              <w:rPr>
                <w:rFonts w:cs="Calibri"/>
              </w:rPr>
              <w:t>Create Hawthorn Class - R2L (Ready2Learn) – a personalised learning space ensuring full curriculum access to those pupils</w:t>
            </w:r>
            <w:r w:rsidR="00581B2A">
              <w:rPr>
                <w:rFonts w:cs="Calibri"/>
              </w:rPr>
              <w:t>,</w:t>
            </w:r>
            <w:r>
              <w:rPr>
                <w:rFonts w:cs="Calibri"/>
              </w:rPr>
              <w:t xml:space="preserve"> most vulnerable</w:t>
            </w:r>
            <w:r w:rsidR="00581B2A">
              <w:rPr>
                <w:rFonts w:cs="Calibri"/>
              </w:rPr>
              <w:t>, or at risk of exclusion</w:t>
            </w:r>
          </w:p>
          <w:p w14:paraId="1DA09DA8" w14:textId="74C3A94D" w:rsidR="005B5102" w:rsidRPr="00AE5C8B" w:rsidRDefault="005B5102" w:rsidP="00E510AA">
            <w:pPr>
              <w:rPr>
                <w:rFonts w:cs="Calibri"/>
              </w:rPr>
            </w:pPr>
            <w:r>
              <w:rPr>
                <w:rFonts w:cs="Calibri"/>
              </w:rPr>
              <w:t xml:space="preserve">Specialist Teacher employed to support Inclusion Team </w:t>
            </w:r>
          </w:p>
          <w:p w14:paraId="48978F1F" w14:textId="0C3F6532" w:rsidR="00AB67E5" w:rsidRPr="00AE5C8B" w:rsidRDefault="003B5E79" w:rsidP="00E510AA">
            <w:pPr>
              <w:rPr>
                <w:rFonts w:cs="Calibri"/>
              </w:rPr>
            </w:pPr>
            <w:r>
              <w:rPr>
                <w:rFonts w:cs="Calibri"/>
              </w:rPr>
              <w:t>Training of LSAs for wider interventions across the school</w:t>
            </w:r>
          </w:p>
          <w:p w14:paraId="5C0EE4FC" w14:textId="77777777" w:rsidR="00581B2A" w:rsidRDefault="00581B2A" w:rsidP="00E510AA">
            <w:pPr>
              <w:rPr>
                <w:rFonts w:cs="Calibri"/>
                <w:b/>
              </w:rPr>
            </w:pPr>
          </w:p>
          <w:p w14:paraId="795A73F9" w14:textId="05A312A5" w:rsidR="00AB67E5" w:rsidRPr="00AE5C8B" w:rsidRDefault="00AB67E5" w:rsidP="00E510AA">
            <w:pPr>
              <w:rPr>
                <w:rFonts w:cs="Calibri"/>
                <w:b/>
              </w:rPr>
            </w:pPr>
            <w:r w:rsidRPr="00AE5C8B">
              <w:rPr>
                <w:rFonts w:cs="Calibri"/>
                <w:b/>
              </w:rPr>
              <w:t>Well-being and pastoral support:</w:t>
            </w:r>
          </w:p>
          <w:p w14:paraId="1E1FFDE3" w14:textId="52AF8D70" w:rsidR="00AB67E5" w:rsidRPr="00AE5C8B" w:rsidRDefault="00AB67E5" w:rsidP="00E510AA">
            <w:pPr>
              <w:rPr>
                <w:rFonts w:cs="Calibri"/>
              </w:rPr>
            </w:pPr>
            <w:r w:rsidRPr="00AE5C8B">
              <w:rPr>
                <w:rFonts w:cs="Calibri"/>
              </w:rPr>
              <w:t xml:space="preserve">Support disadvantaged pupils with identified barriers to learning through a range of targeted interventions with counselling service, art therapy and the </w:t>
            </w:r>
            <w:r w:rsidR="00531B75">
              <w:rPr>
                <w:rFonts w:cs="Calibri"/>
              </w:rPr>
              <w:t>Pastoral</w:t>
            </w:r>
            <w:r w:rsidRPr="00AE5C8B">
              <w:rPr>
                <w:rFonts w:cs="Calibri"/>
              </w:rPr>
              <w:t xml:space="preserve"> Team</w:t>
            </w:r>
          </w:p>
          <w:p w14:paraId="4C5BACA1" w14:textId="77777777" w:rsidR="00AB67E5" w:rsidRPr="00AE5C8B" w:rsidRDefault="00AB67E5" w:rsidP="00E510AA">
            <w:pPr>
              <w:rPr>
                <w:rFonts w:cs="Calibri"/>
              </w:rPr>
            </w:pPr>
            <w:r w:rsidRPr="00AE5C8B">
              <w:rPr>
                <w:rFonts w:cs="Calibri"/>
              </w:rPr>
              <w:t xml:space="preserve"> </w:t>
            </w:r>
          </w:p>
          <w:p w14:paraId="73FA7B0C" w14:textId="77777777" w:rsidR="00AB67E5" w:rsidRPr="00AE5C8B" w:rsidRDefault="00AB67E5" w:rsidP="00E510AA">
            <w:pPr>
              <w:rPr>
                <w:rFonts w:cs="Calibri"/>
                <w:b/>
              </w:rPr>
            </w:pPr>
            <w:r w:rsidRPr="00AE5C8B">
              <w:rPr>
                <w:rFonts w:cs="Calibri"/>
                <w:b/>
              </w:rPr>
              <w:t>Attendance/Family Support:</w:t>
            </w:r>
          </w:p>
          <w:p w14:paraId="6B4F5E0A" w14:textId="3D38AE86" w:rsidR="00AB67E5" w:rsidRPr="00AE5C8B" w:rsidRDefault="00AB67E5" w:rsidP="00E510AA">
            <w:pPr>
              <w:rPr>
                <w:rFonts w:cs="Calibri"/>
              </w:rPr>
            </w:pPr>
            <w:r w:rsidRPr="00AE5C8B">
              <w:rPr>
                <w:rFonts w:cs="Calibri"/>
              </w:rPr>
              <w:t>Pupil &amp; parent</w:t>
            </w:r>
            <w:r w:rsidR="00531B75">
              <w:rPr>
                <w:rFonts w:cs="Calibri"/>
              </w:rPr>
              <w:t>/carer</w:t>
            </w:r>
            <w:r w:rsidRPr="00AE5C8B">
              <w:rPr>
                <w:rFonts w:cs="Calibri"/>
              </w:rPr>
              <w:t xml:space="preserve"> out-of-school educational trips &amp; enrich</w:t>
            </w:r>
            <w:r w:rsidR="00531B75">
              <w:rPr>
                <w:rFonts w:cs="Calibri"/>
              </w:rPr>
              <w:t>ment</w:t>
            </w:r>
            <w:r w:rsidRPr="00AE5C8B">
              <w:rPr>
                <w:rFonts w:cs="Calibri"/>
              </w:rPr>
              <w:t xml:space="preserve"> opportunities</w:t>
            </w:r>
          </w:p>
          <w:p w14:paraId="5ED78803" w14:textId="554513C4" w:rsidR="00AB67E5" w:rsidRPr="00AE5C8B" w:rsidRDefault="00AB67E5" w:rsidP="00E510AA">
            <w:pPr>
              <w:rPr>
                <w:rFonts w:cs="Calibri"/>
              </w:rPr>
            </w:pPr>
            <w:r w:rsidRPr="00AE5C8B">
              <w:rPr>
                <w:rFonts w:cs="Calibri"/>
              </w:rPr>
              <w:t xml:space="preserve"> ‘Breakfast Club’ to continue </w:t>
            </w:r>
            <w:r w:rsidR="00581B2A">
              <w:rPr>
                <w:rFonts w:cs="Calibri"/>
              </w:rPr>
              <w:t>offering support with</w:t>
            </w:r>
            <w:r w:rsidRPr="00AE5C8B">
              <w:rPr>
                <w:rFonts w:cs="Calibri"/>
              </w:rPr>
              <w:t xml:space="preserve"> breakfast</w:t>
            </w:r>
            <w:r w:rsidR="00581B2A">
              <w:rPr>
                <w:rFonts w:cs="Calibri"/>
              </w:rPr>
              <w:t xml:space="preserve"> sessions</w:t>
            </w:r>
          </w:p>
          <w:p w14:paraId="0D89C7F7" w14:textId="1897E17A" w:rsidR="00AB67E5" w:rsidRPr="00AE5C8B" w:rsidRDefault="00AB67E5" w:rsidP="00E510AA">
            <w:pPr>
              <w:rPr>
                <w:rFonts w:cs="Calibri"/>
              </w:rPr>
            </w:pPr>
            <w:r w:rsidRPr="00AE5C8B">
              <w:rPr>
                <w:rFonts w:cs="Calibri"/>
              </w:rPr>
              <w:t xml:space="preserve">Support for vulnerable disadvantaged families through the </w:t>
            </w:r>
            <w:r w:rsidR="00531B75">
              <w:rPr>
                <w:rFonts w:cs="Calibri"/>
              </w:rPr>
              <w:t>Pastoral</w:t>
            </w:r>
            <w:r w:rsidRPr="00AE5C8B">
              <w:rPr>
                <w:rFonts w:cs="Calibri"/>
              </w:rPr>
              <w:t xml:space="preserve"> Team   </w:t>
            </w:r>
          </w:p>
          <w:p w14:paraId="79C8FF48" w14:textId="77777777" w:rsidR="00AB67E5" w:rsidRPr="00AE5C8B" w:rsidRDefault="00AB67E5" w:rsidP="00E510AA">
            <w:pPr>
              <w:rPr>
                <w:rFonts w:cs="Calibri"/>
              </w:rPr>
            </w:pPr>
            <w:r w:rsidRPr="00AE5C8B">
              <w:rPr>
                <w:rFonts w:cs="Calibri"/>
              </w:rPr>
              <w:t>Dedicated time for the Educational Welfare Officer to work with the families of disadvantaged pupils to further increase attendance percentages and improve punctuality</w:t>
            </w:r>
          </w:p>
          <w:p w14:paraId="2EF661F9" w14:textId="77777777" w:rsidR="00AB67E5" w:rsidRPr="00AE5C8B" w:rsidRDefault="00AB67E5" w:rsidP="00E510AA">
            <w:pPr>
              <w:rPr>
                <w:rFonts w:cs="Calibri"/>
              </w:rPr>
            </w:pPr>
            <w:r w:rsidRPr="00AE5C8B">
              <w:rPr>
                <w:rFonts w:cs="Calibri"/>
              </w:rPr>
              <w:t>Provide all pupils with a subsidy to be spent on trips, resources, uniform</w:t>
            </w:r>
          </w:p>
          <w:p w14:paraId="255E1A85" w14:textId="77777777" w:rsidR="00AB67E5" w:rsidRDefault="00AB67E5" w:rsidP="00E510AA">
            <w:pPr>
              <w:rPr>
                <w:rFonts w:cs="Calibri"/>
              </w:rPr>
            </w:pPr>
            <w:r w:rsidRPr="00AE5C8B">
              <w:rPr>
                <w:rFonts w:cs="Calibri"/>
              </w:rPr>
              <w:t>Parent/Carer sessions to be introduced for cooking on a budget, behaviour support, phonics, maths etc.</w:t>
            </w:r>
          </w:p>
          <w:p w14:paraId="262C37C2" w14:textId="77777777" w:rsidR="00B4269B" w:rsidRDefault="00B4269B" w:rsidP="00E510AA">
            <w:pPr>
              <w:rPr>
                <w:rFonts w:cs="Calibri"/>
              </w:rPr>
            </w:pPr>
          </w:p>
          <w:p w14:paraId="0963E658" w14:textId="77777777" w:rsidR="00B4269B" w:rsidRDefault="00B4269B" w:rsidP="00E510AA">
            <w:pPr>
              <w:rPr>
                <w:rFonts w:cs="Calibri"/>
              </w:rPr>
            </w:pPr>
          </w:p>
          <w:p w14:paraId="07E797E6" w14:textId="77777777" w:rsidR="00B4269B" w:rsidRDefault="00B4269B" w:rsidP="00E510AA">
            <w:pPr>
              <w:rPr>
                <w:rFonts w:cs="Calibri"/>
              </w:rPr>
            </w:pPr>
          </w:p>
          <w:p w14:paraId="0DE5569A" w14:textId="77777777" w:rsidR="00B4269B" w:rsidRPr="00AE5C8B" w:rsidRDefault="00B4269B" w:rsidP="00E510AA">
            <w:pPr>
              <w:rPr>
                <w:rFonts w:cs="Calibri"/>
              </w:rPr>
            </w:pPr>
          </w:p>
        </w:tc>
      </w:tr>
      <w:tr w:rsidR="00AB67E5" w:rsidRPr="00AE5C8B" w14:paraId="13AC9DCC" w14:textId="77777777" w:rsidTr="00E510AA">
        <w:tc>
          <w:tcPr>
            <w:tcW w:w="5139" w:type="dxa"/>
            <w:shd w:val="clear" w:color="auto" w:fill="CCC0D9"/>
            <w:tcMar>
              <w:top w:w="57" w:type="dxa"/>
              <w:bottom w:w="57" w:type="dxa"/>
            </w:tcMar>
          </w:tcPr>
          <w:p w14:paraId="2AD00AED" w14:textId="77777777" w:rsidR="00AB67E5" w:rsidRPr="00AE5C8B" w:rsidRDefault="00AB67E5" w:rsidP="00E510AA">
            <w:pPr>
              <w:rPr>
                <w:rFonts w:cs="Calibri"/>
                <w:b/>
              </w:rPr>
            </w:pPr>
            <w:r w:rsidRPr="00AE5C8B">
              <w:rPr>
                <w:rFonts w:cs="Calibri"/>
                <w:b/>
              </w:rPr>
              <w:lastRenderedPageBreak/>
              <w:t xml:space="preserve">Pupil Premium Planned Spending Breakdown </w:t>
            </w:r>
          </w:p>
        </w:tc>
        <w:tc>
          <w:tcPr>
            <w:tcW w:w="5139" w:type="dxa"/>
            <w:gridSpan w:val="2"/>
            <w:shd w:val="clear" w:color="auto" w:fill="CCC0D9"/>
          </w:tcPr>
          <w:p w14:paraId="0A3FE0C5" w14:textId="77777777" w:rsidR="00AB67E5" w:rsidRPr="00AE5C8B" w:rsidRDefault="00AB67E5" w:rsidP="00E510AA">
            <w:pPr>
              <w:rPr>
                <w:rFonts w:cs="Calibri"/>
                <w:b/>
              </w:rPr>
            </w:pPr>
            <w:r w:rsidRPr="00AE5C8B">
              <w:rPr>
                <w:rFonts w:cs="Calibri"/>
                <w:b/>
              </w:rPr>
              <w:t xml:space="preserve">Pupil Premium Planned Spending Breakdown </w:t>
            </w:r>
          </w:p>
        </w:tc>
        <w:tc>
          <w:tcPr>
            <w:tcW w:w="5139" w:type="dxa"/>
            <w:shd w:val="clear" w:color="auto" w:fill="CCC0D9"/>
          </w:tcPr>
          <w:p w14:paraId="4F9EA1A9" w14:textId="115B7761" w:rsidR="00AB67E5" w:rsidRPr="00AE5C8B" w:rsidRDefault="00AB67E5" w:rsidP="00E510AA">
            <w:pPr>
              <w:rPr>
                <w:rFonts w:cs="Calibri"/>
                <w:b/>
              </w:rPr>
            </w:pPr>
            <w:r w:rsidRPr="00AE5C8B">
              <w:rPr>
                <w:rFonts w:cs="Calibri"/>
                <w:b/>
              </w:rPr>
              <w:t xml:space="preserve">Pupil Premium Planned Spending Breakdown </w:t>
            </w:r>
            <w:r w:rsidR="00A4661A">
              <w:rPr>
                <w:rFonts w:cs="Calibri"/>
                <w:b/>
              </w:rPr>
              <w:t xml:space="preserve"> </w:t>
            </w:r>
          </w:p>
        </w:tc>
      </w:tr>
      <w:tr w:rsidR="00AB67E5" w:rsidRPr="00AE5C8B" w14:paraId="61FDC694" w14:textId="77777777" w:rsidTr="00E510AA">
        <w:tc>
          <w:tcPr>
            <w:tcW w:w="5139" w:type="dxa"/>
            <w:shd w:val="clear" w:color="auto" w:fill="auto"/>
            <w:tcMar>
              <w:top w:w="57" w:type="dxa"/>
              <w:bottom w:w="57" w:type="dxa"/>
            </w:tcMar>
          </w:tcPr>
          <w:p w14:paraId="602E66EF" w14:textId="354AC7D0" w:rsidR="00AB67E5" w:rsidRPr="00AE5C8B" w:rsidRDefault="00B4269B" w:rsidP="00E510AA">
            <w:pPr>
              <w:rPr>
                <w:rFonts w:cs="Calibri"/>
              </w:rPr>
            </w:pPr>
            <w:r>
              <w:rPr>
                <w:rFonts w:cs="Calibri"/>
              </w:rPr>
              <w:t>Teaching</w:t>
            </w:r>
          </w:p>
        </w:tc>
        <w:tc>
          <w:tcPr>
            <w:tcW w:w="5139" w:type="dxa"/>
            <w:gridSpan w:val="2"/>
            <w:shd w:val="clear" w:color="auto" w:fill="auto"/>
          </w:tcPr>
          <w:p w14:paraId="6F2FD821" w14:textId="69AFB957" w:rsidR="00AB67E5" w:rsidRPr="00AE5C8B" w:rsidRDefault="00681293" w:rsidP="00E72176">
            <w:pPr>
              <w:rPr>
                <w:rFonts w:cs="Calibri"/>
              </w:rPr>
            </w:pPr>
            <w:r>
              <w:rPr>
                <w:rFonts w:cs="Calibri"/>
              </w:rPr>
              <w:t>Recruitment  and retention, professional development</w:t>
            </w:r>
            <w:r w:rsidR="000B2E45">
              <w:rPr>
                <w:rFonts w:cs="Calibri"/>
              </w:rPr>
              <w:t>/CPD</w:t>
            </w:r>
            <w:r>
              <w:rPr>
                <w:rFonts w:cs="Calibri"/>
              </w:rPr>
              <w:t>, sup</w:t>
            </w:r>
            <w:r w:rsidR="00E72176">
              <w:rPr>
                <w:rFonts w:cs="Calibri"/>
              </w:rPr>
              <w:t>port for early-career teachers</w:t>
            </w:r>
          </w:p>
        </w:tc>
        <w:tc>
          <w:tcPr>
            <w:tcW w:w="5139" w:type="dxa"/>
            <w:shd w:val="clear" w:color="auto" w:fill="auto"/>
          </w:tcPr>
          <w:p w14:paraId="6645A914" w14:textId="45BCD06D" w:rsidR="00AB67E5" w:rsidRDefault="00AB67E5" w:rsidP="00E510AA">
            <w:pPr>
              <w:jc w:val="center"/>
              <w:rPr>
                <w:rFonts w:cs="Calibri"/>
                <w:b/>
              </w:rPr>
            </w:pPr>
          </w:p>
          <w:p w14:paraId="19836D1E" w14:textId="4E7666EA" w:rsidR="00A4661A" w:rsidRPr="00A4661A" w:rsidRDefault="00046EAF" w:rsidP="00E510AA">
            <w:pPr>
              <w:jc w:val="center"/>
              <w:rPr>
                <w:rFonts w:cs="Calibri"/>
                <w:b/>
                <w:color w:val="CC00FF"/>
              </w:rPr>
            </w:pPr>
            <w:r>
              <w:rPr>
                <w:rFonts w:cs="Calibri"/>
                <w:b/>
                <w:color w:val="CC00FF"/>
              </w:rPr>
              <w:t>£15,371</w:t>
            </w:r>
            <w:r w:rsidR="00A4661A">
              <w:rPr>
                <w:rFonts w:cs="Calibri"/>
                <w:b/>
                <w:color w:val="CC00FF"/>
              </w:rPr>
              <w:t xml:space="preserve">  </w:t>
            </w:r>
          </w:p>
        </w:tc>
      </w:tr>
      <w:tr w:rsidR="00AB67E5" w:rsidRPr="00AE5C8B" w14:paraId="31252075" w14:textId="77777777" w:rsidTr="00B4269B">
        <w:trPr>
          <w:trHeight w:val="455"/>
        </w:trPr>
        <w:tc>
          <w:tcPr>
            <w:tcW w:w="5139" w:type="dxa"/>
            <w:shd w:val="clear" w:color="auto" w:fill="auto"/>
            <w:tcMar>
              <w:top w:w="57" w:type="dxa"/>
              <w:bottom w:w="57" w:type="dxa"/>
            </w:tcMar>
          </w:tcPr>
          <w:p w14:paraId="60C1A873" w14:textId="3B68A499" w:rsidR="00AB67E5" w:rsidRDefault="00B4269B" w:rsidP="00E510AA">
            <w:pPr>
              <w:rPr>
                <w:rFonts w:cs="Calibri"/>
              </w:rPr>
            </w:pPr>
            <w:r>
              <w:rPr>
                <w:rFonts w:cs="Calibri"/>
              </w:rPr>
              <w:t>Wider Intervention</w:t>
            </w:r>
          </w:p>
          <w:p w14:paraId="5FB7FBD2" w14:textId="09953136" w:rsidR="00B4269B" w:rsidRPr="00AE5C8B" w:rsidRDefault="00B4269B" w:rsidP="00E510AA">
            <w:pPr>
              <w:rPr>
                <w:rFonts w:cs="Calibri"/>
              </w:rPr>
            </w:pPr>
          </w:p>
        </w:tc>
        <w:tc>
          <w:tcPr>
            <w:tcW w:w="5139" w:type="dxa"/>
            <w:gridSpan w:val="2"/>
            <w:shd w:val="clear" w:color="auto" w:fill="auto"/>
          </w:tcPr>
          <w:p w14:paraId="3044A23F" w14:textId="4B3AFEFD" w:rsidR="00AB67E5" w:rsidRPr="00AE5C8B" w:rsidRDefault="00B4269B" w:rsidP="00E510AA">
            <w:pPr>
              <w:rPr>
                <w:rFonts w:cs="Calibri"/>
              </w:rPr>
            </w:pPr>
            <w:r>
              <w:rPr>
                <w:rFonts w:cs="Calibri"/>
              </w:rPr>
              <w:t xml:space="preserve">External counselling service to support pupils with barriers to learning and parents from vulnerable families. In-school Welfare Team Lead, Early Interventions Manager, Attendance Officer and Learning </w:t>
            </w:r>
            <w:r w:rsidR="008428D8">
              <w:rPr>
                <w:rFonts w:cs="Calibri"/>
              </w:rPr>
              <w:t xml:space="preserve">Nurture </w:t>
            </w:r>
            <w:r>
              <w:rPr>
                <w:rFonts w:cs="Calibri"/>
              </w:rPr>
              <w:t>Mentor, Play Factor, R2L and Thrive</w:t>
            </w:r>
          </w:p>
        </w:tc>
        <w:tc>
          <w:tcPr>
            <w:tcW w:w="5139" w:type="dxa"/>
            <w:shd w:val="clear" w:color="auto" w:fill="auto"/>
          </w:tcPr>
          <w:p w14:paraId="2F56F746" w14:textId="77777777" w:rsidR="00A4661A" w:rsidRDefault="00A4661A" w:rsidP="00B4269B">
            <w:pPr>
              <w:jc w:val="center"/>
              <w:rPr>
                <w:rFonts w:cs="Calibri"/>
                <w:b/>
                <w:color w:val="CC00FF"/>
              </w:rPr>
            </w:pPr>
          </w:p>
          <w:p w14:paraId="36591138" w14:textId="77777777" w:rsidR="00046EAF" w:rsidRDefault="00046EAF" w:rsidP="00B4269B">
            <w:pPr>
              <w:jc w:val="center"/>
              <w:rPr>
                <w:rFonts w:cs="Calibri"/>
                <w:b/>
                <w:color w:val="CC00FF"/>
              </w:rPr>
            </w:pPr>
          </w:p>
          <w:p w14:paraId="5411277F" w14:textId="118AE232" w:rsidR="00046EAF" w:rsidRPr="00A4661A" w:rsidRDefault="00046EAF" w:rsidP="00B4269B">
            <w:pPr>
              <w:jc w:val="center"/>
              <w:rPr>
                <w:rFonts w:cs="Calibri"/>
                <w:b/>
                <w:color w:val="CC00FF"/>
              </w:rPr>
            </w:pPr>
            <w:r>
              <w:rPr>
                <w:rFonts w:cs="Calibri"/>
                <w:b/>
                <w:color w:val="CC00FF"/>
              </w:rPr>
              <w:t>£85,323</w:t>
            </w:r>
          </w:p>
        </w:tc>
      </w:tr>
      <w:tr w:rsidR="00AB67E5" w:rsidRPr="00AE5C8B" w14:paraId="6F6A189B" w14:textId="77777777" w:rsidTr="00E510AA">
        <w:tc>
          <w:tcPr>
            <w:tcW w:w="5139" w:type="dxa"/>
            <w:shd w:val="clear" w:color="auto" w:fill="auto"/>
            <w:tcMar>
              <w:top w:w="57" w:type="dxa"/>
              <w:bottom w:w="57" w:type="dxa"/>
            </w:tcMar>
          </w:tcPr>
          <w:p w14:paraId="00681DC5" w14:textId="387F5919" w:rsidR="00AB67E5" w:rsidRDefault="00B4269B" w:rsidP="00E510AA">
            <w:pPr>
              <w:rPr>
                <w:rFonts w:cs="Calibri"/>
              </w:rPr>
            </w:pPr>
            <w:r>
              <w:rPr>
                <w:rFonts w:cs="Calibri"/>
              </w:rPr>
              <w:t>Targeted Academic Support</w:t>
            </w:r>
          </w:p>
          <w:p w14:paraId="785B02DD" w14:textId="1E7CEAFF" w:rsidR="00B4269B" w:rsidRPr="00AE5C8B" w:rsidRDefault="00B4269B" w:rsidP="00E510AA">
            <w:pPr>
              <w:rPr>
                <w:rFonts w:cs="Calibri"/>
              </w:rPr>
            </w:pPr>
          </w:p>
        </w:tc>
        <w:tc>
          <w:tcPr>
            <w:tcW w:w="5139" w:type="dxa"/>
            <w:gridSpan w:val="2"/>
            <w:shd w:val="clear" w:color="auto" w:fill="auto"/>
          </w:tcPr>
          <w:p w14:paraId="2FCE519E" w14:textId="28216861" w:rsidR="00AB67E5" w:rsidRDefault="00B4269B" w:rsidP="00E510AA">
            <w:pPr>
              <w:rPr>
                <w:rFonts w:cs="Calibri"/>
              </w:rPr>
            </w:pPr>
            <w:r>
              <w:rPr>
                <w:rFonts w:cs="Calibri"/>
              </w:rPr>
              <w:t>Personalised and structured interventions, small group interventions/therapies and one to one support</w:t>
            </w:r>
            <w:r w:rsidR="008428D8">
              <w:rPr>
                <w:rFonts w:cs="Calibri"/>
              </w:rPr>
              <w:t>,</w:t>
            </w:r>
          </w:p>
          <w:p w14:paraId="5689DABC" w14:textId="37B17BF7" w:rsidR="008428D8" w:rsidRPr="00AE5C8B" w:rsidRDefault="008428D8" w:rsidP="00E510AA">
            <w:pPr>
              <w:rPr>
                <w:rFonts w:cs="Calibri"/>
              </w:rPr>
            </w:pPr>
            <w:r>
              <w:rPr>
                <w:rFonts w:cs="Calibri"/>
              </w:rPr>
              <w:t>training of LSAs to deliver interventions</w:t>
            </w:r>
            <w:r w:rsidR="00E72176">
              <w:rPr>
                <w:rFonts w:cs="Calibri"/>
              </w:rPr>
              <w:t>, school-wide targeted support and interventions, including small group tuition, 1:1 tuition, Easter school, Pi</w:t>
            </w:r>
            <w:r w:rsidR="00581B2A">
              <w:rPr>
                <w:rFonts w:cs="Calibri"/>
              </w:rPr>
              <w:t>XL</w:t>
            </w:r>
            <w:r w:rsidR="00E72176">
              <w:rPr>
                <w:rFonts w:cs="Calibri"/>
              </w:rPr>
              <w:t xml:space="preserve"> Therapies</w:t>
            </w:r>
          </w:p>
        </w:tc>
        <w:tc>
          <w:tcPr>
            <w:tcW w:w="5139" w:type="dxa"/>
            <w:shd w:val="clear" w:color="auto" w:fill="auto"/>
          </w:tcPr>
          <w:p w14:paraId="18145ED3" w14:textId="77777777" w:rsidR="00A4661A" w:rsidRDefault="00A4661A" w:rsidP="00B4269B">
            <w:pPr>
              <w:rPr>
                <w:rFonts w:cs="Calibri"/>
                <w:b/>
                <w:color w:val="CC00FF"/>
              </w:rPr>
            </w:pPr>
          </w:p>
          <w:p w14:paraId="01994148" w14:textId="7E2709B5" w:rsidR="00046EAF" w:rsidRPr="00A4661A" w:rsidRDefault="00046EAF" w:rsidP="00046EAF">
            <w:pPr>
              <w:jc w:val="center"/>
              <w:rPr>
                <w:rFonts w:cs="Calibri"/>
                <w:b/>
                <w:color w:val="CC00FF"/>
              </w:rPr>
            </w:pPr>
            <w:r>
              <w:rPr>
                <w:rFonts w:cs="Calibri"/>
                <w:b/>
                <w:color w:val="CC00FF"/>
              </w:rPr>
              <w:t>£71,595</w:t>
            </w:r>
          </w:p>
        </w:tc>
      </w:tr>
      <w:tr w:rsidR="00AB67E5" w:rsidRPr="00AE5C8B" w14:paraId="24ABC737" w14:textId="77777777" w:rsidTr="00E510AA">
        <w:tc>
          <w:tcPr>
            <w:tcW w:w="5139" w:type="dxa"/>
            <w:shd w:val="clear" w:color="auto" w:fill="auto"/>
            <w:tcMar>
              <w:top w:w="57" w:type="dxa"/>
              <w:bottom w:w="57" w:type="dxa"/>
            </w:tcMar>
          </w:tcPr>
          <w:p w14:paraId="0E99E6EA" w14:textId="191DF8E3" w:rsidR="00AB67E5" w:rsidRPr="00AE5C8B" w:rsidRDefault="00AB67E5" w:rsidP="00E510AA">
            <w:pPr>
              <w:rPr>
                <w:rFonts w:cs="Calibri"/>
                <w:b/>
              </w:rPr>
            </w:pPr>
            <w:r w:rsidRPr="00AE5C8B">
              <w:rPr>
                <w:rFonts w:cs="Calibri"/>
                <w:b/>
              </w:rPr>
              <w:t>Total Spend</w:t>
            </w:r>
          </w:p>
        </w:tc>
        <w:tc>
          <w:tcPr>
            <w:tcW w:w="5139" w:type="dxa"/>
            <w:gridSpan w:val="2"/>
            <w:shd w:val="clear" w:color="auto" w:fill="CCC0D9"/>
          </w:tcPr>
          <w:p w14:paraId="413C691D" w14:textId="77777777" w:rsidR="00AB67E5" w:rsidRPr="00AE5C8B" w:rsidRDefault="00AB67E5" w:rsidP="00E510AA">
            <w:pPr>
              <w:rPr>
                <w:rFonts w:cs="Calibri"/>
              </w:rPr>
            </w:pPr>
          </w:p>
        </w:tc>
        <w:tc>
          <w:tcPr>
            <w:tcW w:w="5139" w:type="dxa"/>
            <w:shd w:val="clear" w:color="auto" w:fill="auto"/>
          </w:tcPr>
          <w:p w14:paraId="671772A9" w14:textId="77777777" w:rsidR="00AB67E5" w:rsidRDefault="00046EAF" w:rsidP="00E510AA">
            <w:pPr>
              <w:jc w:val="center"/>
              <w:rPr>
                <w:rFonts w:cs="Calibri"/>
                <w:b/>
              </w:rPr>
            </w:pPr>
            <w:r>
              <w:rPr>
                <w:rFonts w:cs="Calibri"/>
                <w:b/>
              </w:rPr>
              <w:t>£</w:t>
            </w:r>
            <w:r w:rsidR="003A2AE4">
              <w:rPr>
                <w:rFonts w:cs="Calibri"/>
                <w:b/>
              </w:rPr>
              <w:t>172,289</w:t>
            </w:r>
          </w:p>
          <w:p w14:paraId="459949AA" w14:textId="1DA0AA25" w:rsidR="00581B2A" w:rsidRPr="00581B2A" w:rsidRDefault="00581B2A" w:rsidP="00E510AA">
            <w:pPr>
              <w:jc w:val="center"/>
              <w:rPr>
                <w:rFonts w:cs="Calibri"/>
                <w:bCs/>
                <w:i/>
                <w:iCs/>
                <w:color w:val="CC00FF"/>
              </w:rPr>
            </w:pPr>
            <w:r w:rsidRPr="00581B2A">
              <w:rPr>
                <w:rFonts w:cs="Calibri"/>
                <w:bCs/>
                <w:i/>
                <w:iCs/>
                <w:color w:val="CC00FF"/>
              </w:rPr>
              <w:t xml:space="preserve">(This is £23,000+ </w:t>
            </w:r>
            <w:r>
              <w:rPr>
                <w:rFonts w:cs="Calibri"/>
                <w:bCs/>
                <w:i/>
                <w:iCs/>
                <w:color w:val="CC00FF"/>
              </w:rPr>
              <w:t>above what is currently received)</w:t>
            </w:r>
          </w:p>
        </w:tc>
      </w:tr>
    </w:tbl>
    <w:p w14:paraId="6D065541" w14:textId="77777777" w:rsidR="00AB67E5" w:rsidRDefault="00AB67E5"/>
    <w:p w14:paraId="5E4CE1CA" w14:textId="77777777" w:rsidR="00581B2A" w:rsidRDefault="00AB67E5" w:rsidP="00AB67E5">
      <w:pPr>
        <w:rPr>
          <w:rFonts w:cs="Calibri"/>
        </w:rPr>
      </w:pPr>
      <w:r w:rsidRPr="00AE5C8B">
        <w:rPr>
          <w:rFonts w:cs="Calibri"/>
        </w:rPr>
        <w:t xml:space="preserve">This report is reviewed annually in the Autumn Term when all of the data is available, and the accounts have been closed for the financial year.  </w:t>
      </w:r>
    </w:p>
    <w:p w14:paraId="106533BF" w14:textId="77777777" w:rsidR="00581B2A" w:rsidRDefault="00581B2A" w:rsidP="00AB67E5">
      <w:pPr>
        <w:rPr>
          <w:rFonts w:cs="Calibri"/>
        </w:rPr>
      </w:pPr>
    </w:p>
    <w:p w14:paraId="27019B5F" w14:textId="467EFAB8" w:rsidR="00AB67E5" w:rsidRPr="00AE5C8B" w:rsidRDefault="00AB67E5" w:rsidP="00AB67E5">
      <w:pPr>
        <w:rPr>
          <w:rFonts w:cs="Calibri"/>
        </w:rPr>
      </w:pPr>
      <w:r w:rsidRPr="00AE5C8B">
        <w:rPr>
          <w:rFonts w:cs="Calibri"/>
        </w:rPr>
        <w:t xml:space="preserve">Plans for </w:t>
      </w:r>
      <w:r w:rsidR="005B5102">
        <w:rPr>
          <w:rFonts w:cs="Calibri"/>
        </w:rPr>
        <w:t>20</w:t>
      </w:r>
      <w:r w:rsidRPr="00AE5C8B">
        <w:rPr>
          <w:rFonts w:cs="Calibri"/>
        </w:rPr>
        <w:t>/2</w:t>
      </w:r>
      <w:r w:rsidR="005B5102">
        <w:rPr>
          <w:rFonts w:cs="Calibri"/>
        </w:rPr>
        <w:t>1</w:t>
      </w:r>
      <w:r w:rsidRPr="00AE5C8B">
        <w:rPr>
          <w:rFonts w:cs="Calibri"/>
        </w:rPr>
        <w:t xml:space="preserve"> will also be published at this time.</w:t>
      </w:r>
    </w:p>
    <w:p w14:paraId="03B24FA0" w14:textId="77777777" w:rsidR="00AB67E5" w:rsidRDefault="00AB67E5"/>
    <w:sectPr w:rsidR="00AB67E5" w:rsidSect="00AB67E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B04CC"/>
    <w:multiLevelType w:val="hybridMultilevel"/>
    <w:tmpl w:val="4B849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A30399"/>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7AFB5401"/>
    <w:multiLevelType w:val="hybridMultilevel"/>
    <w:tmpl w:val="D5DA8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7E5"/>
    <w:rsid w:val="00046EAF"/>
    <w:rsid w:val="00054662"/>
    <w:rsid w:val="00092B97"/>
    <w:rsid w:val="000B2E45"/>
    <w:rsid w:val="00286437"/>
    <w:rsid w:val="0029564E"/>
    <w:rsid w:val="003304AC"/>
    <w:rsid w:val="00371B43"/>
    <w:rsid w:val="003A2AE4"/>
    <w:rsid w:val="003B5E79"/>
    <w:rsid w:val="00531B75"/>
    <w:rsid w:val="00581B2A"/>
    <w:rsid w:val="005B5102"/>
    <w:rsid w:val="00677495"/>
    <w:rsid w:val="00681293"/>
    <w:rsid w:val="0071021C"/>
    <w:rsid w:val="008428D8"/>
    <w:rsid w:val="00A367A5"/>
    <w:rsid w:val="00A4661A"/>
    <w:rsid w:val="00AA1C26"/>
    <w:rsid w:val="00AA629A"/>
    <w:rsid w:val="00AB67E5"/>
    <w:rsid w:val="00B4269B"/>
    <w:rsid w:val="00C92490"/>
    <w:rsid w:val="00D60CD9"/>
    <w:rsid w:val="00E0640E"/>
    <w:rsid w:val="00E30041"/>
    <w:rsid w:val="00E64EDF"/>
    <w:rsid w:val="00E72176"/>
    <w:rsid w:val="00EA48B0"/>
    <w:rsid w:val="00F14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E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7E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E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7E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diagramColors" Target="diagrams/colors1.xml"/><Relationship Id="rId10" Type="http://schemas.openxmlformats.org/officeDocument/2006/relationships/hyperlink" Target="https://www.bing.com/images/search?view=detailV2&amp;ccid=zz21Z9S5&amp;id=ADA47D39C44797D48408A69602800EDD3793BA93&amp;thid=OIP.zz21Z9S5WihqVHhhkQ3aYgC3Bf&amp;q=REAch2&amp;simid=608000339543327721&amp;selectedIndex=0"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8DC8A3-39AF-4C72-907E-68332C268153}" type="doc">
      <dgm:prSet loTypeId="urn:microsoft.com/office/officeart/2005/8/layout/gear1" loCatId="process" qsTypeId="urn:microsoft.com/office/officeart/2005/8/quickstyle/simple1" qsCatId="simple" csTypeId="urn:microsoft.com/office/officeart/2005/8/colors/accent1_2" csCatId="accent1" phldr="1"/>
      <dgm:spPr/>
    </dgm:pt>
    <dgm:pt modelId="{DD385EC4-BB9E-4F8E-8B89-7F2A8D2ECC26}">
      <dgm:prSet phldrT="[Text]"/>
      <dgm:spPr>
        <a:solidFill>
          <a:srgbClr val="CC99FF"/>
        </a:solidFill>
      </dgm:spPr>
      <dgm:t>
        <a:bodyPr/>
        <a:lstStyle/>
        <a:p>
          <a:pPr>
            <a:buFont typeface="+mj-lt"/>
            <a:buAutoNum type="arabicPeriod"/>
          </a:pPr>
          <a:r>
            <a:rPr lang="en-GB"/>
            <a:t>Teaching</a:t>
          </a:r>
        </a:p>
      </dgm:t>
    </dgm:pt>
    <dgm:pt modelId="{212A29E0-4FA1-487A-ADDE-2D9E8CFB1176}" type="parTrans" cxnId="{77BCDF53-A0B3-4BD9-8A3F-16B148597A5D}">
      <dgm:prSet/>
      <dgm:spPr/>
      <dgm:t>
        <a:bodyPr/>
        <a:lstStyle/>
        <a:p>
          <a:endParaRPr lang="en-GB"/>
        </a:p>
      </dgm:t>
    </dgm:pt>
    <dgm:pt modelId="{75EA4574-4BE5-41B4-B9EE-FA74F3E75195}" type="sibTrans" cxnId="{77BCDF53-A0B3-4BD9-8A3F-16B148597A5D}">
      <dgm:prSet/>
      <dgm:spPr>
        <a:solidFill>
          <a:srgbClr val="9999FF"/>
        </a:solidFill>
      </dgm:spPr>
      <dgm:t>
        <a:bodyPr/>
        <a:lstStyle/>
        <a:p>
          <a:endParaRPr lang="en-GB"/>
        </a:p>
      </dgm:t>
    </dgm:pt>
    <dgm:pt modelId="{7B27FBE7-453F-4DE6-8201-4024E3E5E251}">
      <dgm:prSet phldrT="[Text]"/>
      <dgm:spPr>
        <a:solidFill>
          <a:srgbClr val="CC00FF"/>
        </a:solidFill>
      </dgm:spPr>
      <dgm:t>
        <a:bodyPr/>
        <a:lstStyle/>
        <a:p>
          <a:pPr>
            <a:buFont typeface="+mj-lt"/>
            <a:buAutoNum type="arabicPeriod"/>
          </a:pPr>
          <a:r>
            <a:rPr lang="en-GB"/>
            <a:t>Wider intervention</a:t>
          </a:r>
        </a:p>
      </dgm:t>
    </dgm:pt>
    <dgm:pt modelId="{EF0EB88C-7485-41AC-9629-5BE387E42AF2}" type="parTrans" cxnId="{2C3220AD-8AF1-4C39-A02A-A1ABEA663C9C}">
      <dgm:prSet/>
      <dgm:spPr/>
      <dgm:t>
        <a:bodyPr/>
        <a:lstStyle/>
        <a:p>
          <a:endParaRPr lang="en-GB"/>
        </a:p>
      </dgm:t>
    </dgm:pt>
    <dgm:pt modelId="{A8993E27-C4B7-4496-BCEA-5FE3A5A9FB61}" type="sibTrans" cxnId="{2C3220AD-8AF1-4C39-A02A-A1ABEA663C9C}">
      <dgm:prSet/>
      <dgm:spPr>
        <a:solidFill>
          <a:srgbClr val="CC99FF"/>
        </a:solidFill>
      </dgm:spPr>
      <dgm:t>
        <a:bodyPr/>
        <a:lstStyle/>
        <a:p>
          <a:endParaRPr lang="en-GB"/>
        </a:p>
      </dgm:t>
    </dgm:pt>
    <dgm:pt modelId="{FFBE78C3-B5DE-4A41-88C1-2C3B561E088D}">
      <dgm:prSet phldrT="[Text]" phldr="1"/>
      <dgm:spPr/>
      <dgm:t>
        <a:bodyPr/>
        <a:lstStyle/>
        <a:p>
          <a:endParaRPr lang="en-GB"/>
        </a:p>
      </dgm:t>
    </dgm:pt>
    <dgm:pt modelId="{FEE5125C-AD89-4E0D-9D5D-EC5447B6A520}" type="parTrans" cxnId="{8CC90981-95E1-4E23-8F56-1C2DE470FC06}">
      <dgm:prSet/>
      <dgm:spPr/>
      <dgm:t>
        <a:bodyPr/>
        <a:lstStyle/>
        <a:p>
          <a:endParaRPr lang="en-GB"/>
        </a:p>
      </dgm:t>
    </dgm:pt>
    <dgm:pt modelId="{9F7FFB42-0E8F-4880-89B3-65328E4EAC07}" type="sibTrans" cxnId="{8CC90981-95E1-4E23-8F56-1C2DE470FC06}">
      <dgm:prSet/>
      <dgm:spPr/>
      <dgm:t>
        <a:bodyPr/>
        <a:lstStyle/>
        <a:p>
          <a:endParaRPr lang="en-GB"/>
        </a:p>
      </dgm:t>
    </dgm:pt>
    <dgm:pt modelId="{27D2F3CF-EC19-4EA1-A6F3-BEA31F4544EA}">
      <dgm:prSet/>
      <dgm:spPr>
        <a:solidFill>
          <a:srgbClr val="9999FF"/>
        </a:solidFill>
      </dgm:spPr>
      <dgm:t>
        <a:bodyPr/>
        <a:lstStyle/>
        <a:p>
          <a:pPr>
            <a:buFont typeface="+mj-lt"/>
            <a:buAutoNum type="arabicPeriod"/>
          </a:pPr>
          <a:r>
            <a:rPr lang="en-GB"/>
            <a:t>Targeted academic support</a:t>
          </a:r>
        </a:p>
      </dgm:t>
    </dgm:pt>
    <dgm:pt modelId="{2D56AF4D-BDE7-48A8-8002-C96E7ABDFEA0}" type="parTrans" cxnId="{F37588BF-6A4E-4A7E-BD5F-BD2B77F5EABA}">
      <dgm:prSet/>
      <dgm:spPr/>
      <dgm:t>
        <a:bodyPr/>
        <a:lstStyle/>
        <a:p>
          <a:endParaRPr lang="en-GB"/>
        </a:p>
      </dgm:t>
    </dgm:pt>
    <dgm:pt modelId="{8AB774C2-B365-43A8-84AA-781B389C3075}" type="sibTrans" cxnId="{F37588BF-6A4E-4A7E-BD5F-BD2B77F5EABA}">
      <dgm:prSet/>
      <dgm:spPr>
        <a:solidFill>
          <a:srgbClr val="CC00FF"/>
        </a:solidFill>
      </dgm:spPr>
      <dgm:t>
        <a:bodyPr/>
        <a:lstStyle/>
        <a:p>
          <a:endParaRPr lang="en-GB"/>
        </a:p>
      </dgm:t>
    </dgm:pt>
    <dgm:pt modelId="{2261FAB4-861C-4222-8713-5A7A46AB05F8}">
      <dgm:prSet/>
      <dgm:spPr>
        <a:ln>
          <a:solidFill>
            <a:srgbClr val="7030A0"/>
          </a:solidFill>
        </a:ln>
      </dgm:spPr>
      <dgm:t>
        <a:bodyPr/>
        <a:lstStyle/>
        <a:p>
          <a:r>
            <a:rPr lang="en-GB"/>
            <a:t>Personalised and structured interventions</a:t>
          </a:r>
        </a:p>
      </dgm:t>
    </dgm:pt>
    <dgm:pt modelId="{AA35B570-F1BA-4542-981D-4D5CDF75D4FD}" type="parTrans" cxnId="{E89DD427-F944-4491-98DD-94C3D2D41852}">
      <dgm:prSet/>
      <dgm:spPr/>
      <dgm:t>
        <a:bodyPr/>
        <a:lstStyle/>
        <a:p>
          <a:endParaRPr lang="en-GB"/>
        </a:p>
      </dgm:t>
    </dgm:pt>
    <dgm:pt modelId="{03EED505-5C52-4717-A363-789C1EC38956}" type="sibTrans" cxnId="{E89DD427-F944-4491-98DD-94C3D2D41852}">
      <dgm:prSet/>
      <dgm:spPr/>
      <dgm:t>
        <a:bodyPr/>
        <a:lstStyle/>
        <a:p>
          <a:endParaRPr lang="en-GB"/>
        </a:p>
      </dgm:t>
    </dgm:pt>
    <dgm:pt modelId="{5103F19C-9CEA-4CC0-8B7B-E1B63060BA08}">
      <dgm:prSet/>
      <dgm:spPr>
        <a:ln>
          <a:solidFill>
            <a:srgbClr val="7030A0"/>
          </a:solidFill>
        </a:ln>
      </dgm:spPr>
      <dgm:t>
        <a:bodyPr/>
        <a:lstStyle/>
        <a:p>
          <a:r>
            <a:rPr lang="en-GB"/>
            <a:t>Small group interventions</a:t>
          </a:r>
        </a:p>
      </dgm:t>
    </dgm:pt>
    <dgm:pt modelId="{179942FC-8716-4D4B-898D-F920C90E3D0F}" type="parTrans" cxnId="{12ACA6CA-DA91-471D-ABAB-D2EFAB746E3C}">
      <dgm:prSet/>
      <dgm:spPr/>
      <dgm:t>
        <a:bodyPr/>
        <a:lstStyle/>
        <a:p>
          <a:endParaRPr lang="en-GB"/>
        </a:p>
      </dgm:t>
    </dgm:pt>
    <dgm:pt modelId="{B5D50B56-7C35-4572-9A44-05DF8E259D92}" type="sibTrans" cxnId="{12ACA6CA-DA91-471D-ABAB-D2EFAB746E3C}">
      <dgm:prSet/>
      <dgm:spPr/>
      <dgm:t>
        <a:bodyPr/>
        <a:lstStyle/>
        <a:p>
          <a:endParaRPr lang="en-GB"/>
        </a:p>
      </dgm:t>
    </dgm:pt>
    <dgm:pt modelId="{49F12947-59CE-4708-9F3B-FF40E681A987}">
      <dgm:prSet/>
      <dgm:spPr>
        <a:ln>
          <a:solidFill>
            <a:srgbClr val="7030A0"/>
          </a:solidFill>
        </a:ln>
      </dgm:spPr>
      <dgm:t>
        <a:bodyPr/>
        <a:lstStyle/>
        <a:p>
          <a:r>
            <a:rPr lang="en-GB"/>
            <a:t>One-to-one support</a:t>
          </a:r>
        </a:p>
      </dgm:t>
    </dgm:pt>
    <dgm:pt modelId="{24B2D2F0-F93E-4411-BC88-D861ADF16AF7}" type="parTrans" cxnId="{3F0A7089-35F4-468D-8182-9621513FC366}">
      <dgm:prSet/>
      <dgm:spPr/>
      <dgm:t>
        <a:bodyPr/>
        <a:lstStyle/>
        <a:p>
          <a:endParaRPr lang="en-GB"/>
        </a:p>
      </dgm:t>
    </dgm:pt>
    <dgm:pt modelId="{241CBAC6-71B5-4D5E-976E-AB5A2A619408}" type="sibTrans" cxnId="{3F0A7089-35F4-468D-8182-9621513FC366}">
      <dgm:prSet/>
      <dgm:spPr/>
      <dgm:t>
        <a:bodyPr/>
        <a:lstStyle/>
        <a:p>
          <a:endParaRPr lang="en-GB"/>
        </a:p>
      </dgm:t>
    </dgm:pt>
    <dgm:pt modelId="{81A5204F-4AA5-4051-809A-D5593A65AC7B}">
      <dgm:prSet/>
      <dgm:spPr>
        <a:ln>
          <a:solidFill>
            <a:srgbClr val="7030A0"/>
          </a:solidFill>
        </a:ln>
      </dgm:spPr>
      <dgm:t>
        <a:bodyPr/>
        <a:lstStyle/>
        <a:p>
          <a:r>
            <a:rPr lang="en-GB"/>
            <a:t>Recruitment and Retention</a:t>
          </a:r>
        </a:p>
      </dgm:t>
    </dgm:pt>
    <dgm:pt modelId="{4C5799D0-9AB4-4650-8C60-802F7F712840}" type="sibTrans" cxnId="{914206E9-7C06-4C23-84C3-5E8B88C92FAA}">
      <dgm:prSet/>
      <dgm:spPr/>
      <dgm:t>
        <a:bodyPr/>
        <a:lstStyle/>
        <a:p>
          <a:endParaRPr lang="en-GB"/>
        </a:p>
      </dgm:t>
    </dgm:pt>
    <dgm:pt modelId="{31FEC1C0-CB52-4B42-B5CF-311EA7F0B290}" type="parTrans" cxnId="{914206E9-7C06-4C23-84C3-5E8B88C92FAA}">
      <dgm:prSet/>
      <dgm:spPr/>
      <dgm:t>
        <a:bodyPr/>
        <a:lstStyle/>
        <a:p>
          <a:endParaRPr lang="en-GB"/>
        </a:p>
      </dgm:t>
    </dgm:pt>
    <dgm:pt modelId="{17DCA006-E201-4AB0-83DA-C748F9F1C23B}">
      <dgm:prSet/>
      <dgm:spPr>
        <a:ln>
          <a:solidFill>
            <a:srgbClr val="7030A0"/>
          </a:solidFill>
        </a:ln>
      </dgm:spPr>
      <dgm:t>
        <a:bodyPr/>
        <a:lstStyle/>
        <a:p>
          <a:r>
            <a:rPr lang="en-GB"/>
            <a:t>Professional Development</a:t>
          </a:r>
        </a:p>
      </dgm:t>
    </dgm:pt>
    <dgm:pt modelId="{B35BE739-9EDF-4A39-9AEE-4F788D676184}" type="sibTrans" cxnId="{0FCEA15E-C924-4817-8669-B0D0AA7D0800}">
      <dgm:prSet/>
      <dgm:spPr/>
      <dgm:t>
        <a:bodyPr/>
        <a:lstStyle/>
        <a:p>
          <a:endParaRPr lang="en-GB"/>
        </a:p>
      </dgm:t>
    </dgm:pt>
    <dgm:pt modelId="{43358913-FACB-447F-BBA4-0126B6D76809}" type="parTrans" cxnId="{0FCEA15E-C924-4817-8669-B0D0AA7D0800}">
      <dgm:prSet/>
      <dgm:spPr/>
      <dgm:t>
        <a:bodyPr/>
        <a:lstStyle/>
        <a:p>
          <a:endParaRPr lang="en-GB"/>
        </a:p>
      </dgm:t>
    </dgm:pt>
    <dgm:pt modelId="{C32387F3-21C9-4079-B933-E5B73C19BFC9}">
      <dgm:prSet/>
      <dgm:spPr>
        <a:ln>
          <a:solidFill>
            <a:srgbClr val="7030A0"/>
          </a:solidFill>
        </a:ln>
      </dgm:spPr>
      <dgm:t>
        <a:bodyPr/>
        <a:lstStyle/>
        <a:p>
          <a:r>
            <a:rPr lang="en-GB"/>
            <a:t>Support for early-career teachers</a:t>
          </a:r>
        </a:p>
      </dgm:t>
    </dgm:pt>
    <dgm:pt modelId="{9AFC46B9-9869-4538-8E4C-F14377B1B915}" type="sibTrans" cxnId="{74146B4E-0E10-43CB-95BD-75440D4AAA81}">
      <dgm:prSet/>
      <dgm:spPr/>
      <dgm:t>
        <a:bodyPr/>
        <a:lstStyle/>
        <a:p>
          <a:endParaRPr lang="en-GB"/>
        </a:p>
      </dgm:t>
    </dgm:pt>
    <dgm:pt modelId="{C879C726-6AEE-4D8F-B827-CB0440031ED2}" type="parTrans" cxnId="{74146B4E-0E10-43CB-95BD-75440D4AAA81}">
      <dgm:prSet/>
      <dgm:spPr/>
      <dgm:t>
        <a:bodyPr/>
        <a:lstStyle/>
        <a:p>
          <a:endParaRPr lang="en-GB"/>
        </a:p>
      </dgm:t>
    </dgm:pt>
    <dgm:pt modelId="{0E5DAF17-6103-4CCF-BA3F-56DFB7F3E635}">
      <dgm:prSet/>
      <dgm:spPr>
        <a:ln>
          <a:solidFill>
            <a:srgbClr val="7030A0"/>
          </a:solidFill>
        </a:ln>
      </dgm:spPr>
      <dgm:t>
        <a:bodyPr/>
        <a:lstStyle/>
        <a:p>
          <a:r>
            <a:rPr lang="en-GB"/>
            <a:t>Attendance</a:t>
          </a:r>
        </a:p>
      </dgm:t>
    </dgm:pt>
    <dgm:pt modelId="{1DF73108-D50F-456F-AAA2-4EDB0B2C7D15}" type="parTrans" cxnId="{43CEB16B-AB6A-4872-A56E-ACD09F1F178B}">
      <dgm:prSet/>
      <dgm:spPr/>
      <dgm:t>
        <a:bodyPr/>
        <a:lstStyle/>
        <a:p>
          <a:endParaRPr lang="en-GB"/>
        </a:p>
      </dgm:t>
    </dgm:pt>
    <dgm:pt modelId="{0F99A638-7978-4C33-A921-B9735161605E}" type="sibTrans" cxnId="{43CEB16B-AB6A-4872-A56E-ACD09F1F178B}">
      <dgm:prSet/>
      <dgm:spPr/>
      <dgm:t>
        <a:bodyPr/>
        <a:lstStyle/>
        <a:p>
          <a:endParaRPr lang="en-GB"/>
        </a:p>
      </dgm:t>
    </dgm:pt>
    <dgm:pt modelId="{38BFB513-7F7F-48F4-B574-7E2E06644844}">
      <dgm:prSet/>
      <dgm:spPr>
        <a:ln>
          <a:solidFill>
            <a:srgbClr val="7030A0"/>
          </a:solidFill>
        </a:ln>
      </dgm:spPr>
      <dgm:t>
        <a:bodyPr/>
        <a:lstStyle/>
        <a:p>
          <a:r>
            <a:rPr lang="en-GB"/>
            <a:t>R2L (Ready2Learn)</a:t>
          </a:r>
        </a:p>
      </dgm:t>
    </dgm:pt>
    <dgm:pt modelId="{418581B2-74D2-4022-B38C-D23F2DBBC609}" type="parTrans" cxnId="{804F257A-B59A-4815-A7FB-14C5F6F5F3E5}">
      <dgm:prSet/>
      <dgm:spPr/>
      <dgm:t>
        <a:bodyPr/>
        <a:lstStyle/>
        <a:p>
          <a:endParaRPr lang="en-GB"/>
        </a:p>
      </dgm:t>
    </dgm:pt>
    <dgm:pt modelId="{84972EEA-C22A-4695-A994-F126EF5CE748}" type="sibTrans" cxnId="{804F257A-B59A-4815-A7FB-14C5F6F5F3E5}">
      <dgm:prSet/>
      <dgm:spPr/>
      <dgm:t>
        <a:bodyPr/>
        <a:lstStyle/>
        <a:p>
          <a:endParaRPr lang="en-GB"/>
        </a:p>
      </dgm:t>
    </dgm:pt>
    <dgm:pt modelId="{A7B43C53-EDD1-4428-AE06-C1AA677F1C1B}">
      <dgm:prSet/>
      <dgm:spPr>
        <a:ln>
          <a:solidFill>
            <a:srgbClr val="7030A0"/>
          </a:solidFill>
        </a:ln>
      </dgm:spPr>
      <dgm:t>
        <a:bodyPr/>
        <a:lstStyle/>
        <a:p>
          <a:r>
            <a:rPr lang="en-GB"/>
            <a:t>Play Therapy</a:t>
          </a:r>
        </a:p>
      </dgm:t>
    </dgm:pt>
    <dgm:pt modelId="{E4FB26E7-ACFA-4CA0-A00A-A5DD35DC2CD2}" type="parTrans" cxnId="{8B7FF8D7-7D65-4312-8121-154550FD58B8}">
      <dgm:prSet/>
      <dgm:spPr/>
      <dgm:t>
        <a:bodyPr/>
        <a:lstStyle/>
        <a:p>
          <a:endParaRPr lang="en-GB"/>
        </a:p>
      </dgm:t>
    </dgm:pt>
    <dgm:pt modelId="{30BD77CC-4850-4927-B900-4E2EC4112414}" type="sibTrans" cxnId="{8B7FF8D7-7D65-4312-8121-154550FD58B8}">
      <dgm:prSet/>
      <dgm:spPr/>
      <dgm:t>
        <a:bodyPr/>
        <a:lstStyle/>
        <a:p>
          <a:endParaRPr lang="en-GB"/>
        </a:p>
      </dgm:t>
    </dgm:pt>
    <dgm:pt modelId="{63C96456-4B68-48A4-BF3D-608008630233}">
      <dgm:prSet/>
      <dgm:spPr>
        <a:ln>
          <a:solidFill>
            <a:srgbClr val="7030A0"/>
          </a:solidFill>
        </a:ln>
      </dgm:spPr>
      <dgm:t>
        <a:bodyPr/>
        <a:lstStyle/>
        <a:p>
          <a:r>
            <a:rPr lang="en-GB"/>
            <a:t>Behaviour Approaches</a:t>
          </a:r>
        </a:p>
      </dgm:t>
    </dgm:pt>
    <dgm:pt modelId="{5285AB9B-2BB5-43B6-97EA-3A27F9B028C6}" type="parTrans" cxnId="{C06BE3EA-56B8-4123-AB00-B3DED2E2CFBC}">
      <dgm:prSet/>
      <dgm:spPr/>
      <dgm:t>
        <a:bodyPr/>
        <a:lstStyle/>
        <a:p>
          <a:endParaRPr lang="en-GB"/>
        </a:p>
      </dgm:t>
    </dgm:pt>
    <dgm:pt modelId="{24DFBE74-2EA0-4B32-8DFF-96D50D127BA1}" type="sibTrans" cxnId="{C06BE3EA-56B8-4123-AB00-B3DED2E2CFBC}">
      <dgm:prSet/>
      <dgm:spPr/>
      <dgm:t>
        <a:bodyPr/>
        <a:lstStyle/>
        <a:p>
          <a:endParaRPr lang="en-GB"/>
        </a:p>
      </dgm:t>
    </dgm:pt>
    <dgm:pt modelId="{EEB095A9-5A21-4C9C-A72A-0B9B6417CB70}">
      <dgm:prSet/>
      <dgm:spPr>
        <a:ln>
          <a:solidFill>
            <a:srgbClr val="7030A0"/>
          </a:solidFill>
        </a:ln>
      </dgm:spPr>
      <dgm:t>
        <a:bodyPr/>
        <a:lstStyle/>
        <a:p>
          <a:r>
            <a:rPr lang="en-GB"/>
            <a:t>Thrive</a:t>
          </a:r>
        </a:p>
      </dgm:t>
    </dgm:pt>
    <dgm:pt modelId="{1B0FE20C-46E4-4C36-832C-DA3E17862339}" type="parTrans" cxnId="{CF8B9791-8B04-4B4F-9B99-BA724E97DB96}">
      <dgm:prSet/>
      <dgm:spPr/>
      <dgm:t>
        <a:bodyPr/>
        <a:lstStyle/>
        <a:p>
          <a:endParaRPr lang="en-GB"/>
        </a:p>
      </dgm:t>
    </dgm:pt>
    <dgm:pt modelId="{5B7F5568-C259-4F0E-AFCC-685410CD82B2}" type="sibTrans" cxnId="{CF8B9791-8B04-4B4F-9B99-BA724E97DB96}">
      <dgm:prSet/>
      <dgm:spPr/>
      <dgm:t>
        <a:bodyPr/>
        <a:lstStyle/>
        <a:p>
          <a:endParaRPr lang="en-GB"/>
        </a:p>
      </dgm:t>
    </dgm:pt>
    <dgm:pt modelId="{FC0EC366-949D-4DA0-B6BA-D2F7C81FED52}">
      <dgm:prSet/>
      <dgm:spPr>
        <a:ln>
          <a:solidFill>
            <a:srgbClr val="7030A0"/>
          </a:solidFill>
        </a:ln>
      </dgm:spPr>
      <dgm:t>
        <a:bodyPr/>
        <a:lstStyle/>
        <a:p>
          <a:r>
            <a:rPr lang="en-GB"/>
            <a:t>Breakfast Clubs</a:t>
          </a:r>
        </a:p>
      </dgm:t>
    </dgm:pt>
    <dgm:pt modelId="{29808BB2-2503-4335-9EEC-A4C8B2C7B771}" type="parTrans" cxnId="{B8DAC1C3-C3E2-463F-B2E3-E47A3E01CC23}">
      <dgm:prSet/>
      <dgm:spPr/>
      <dgm:t>
        <a:bodyPr/>
        <a:lstStyle/>
        <a:p>
          <a:endParaRPr lang="en-GB"/>
        </a:p>
      </dgm:t>
    </dgm:pt>
    <dgm:pt modelId="{EEE4F185-F072-46D1-9B7A-45D280DC4B46}" type="sibTrans" cxnId="{B8DAC1C3-C3E2-463F-B2E3-E47A3E01CC23}">
      <dgm:prSet/>
      <dgm:spPr/>
      <dgm:t>
        <a:bodyPr/>
        <a:lstStyle/>
        <a:p>
          <a:endParaRPr lang="en-GB"/>
        </a:p>
      </dgm:t>
    </dgm:pt>
    <dgm:pt modelId="{F11568C3-0F4A-46F2-A413-15179EE52192}" type="pres">
      <dgm:prSet presAssocID="{BC8DC8A3-39AF-4C72-907E-68332C268153}" presName="composite" presStyleCnt="0">
        <dgm:presLayoutVars>
          <dgm:chMax val="3"/>
          <dgm:animLvl val="lvl"/>
          <dgm:resizeHandles val="exact"/>
        </dgm:presLayoutVars>
      </dgm:prSet>
      <dgm:spPr/>
    </dgm:pt>
    <dgm:pt modelId="{18EF5BB9-7B52-4FB4-A996-FFFF1B7F74EC}" type="pres">
      <dgm:prSet presAssocID="{DD385EC4-BB9E-4F8E-8B89-7F2A8D2ECC26}" presName="gear1" presStyleLbl="node1" presStyleIdx="0" presStyleCnt="3">
        <dgm:presLayoutVars>
          <dgm:chMax val="1"/>
          <dgm:bulletEnabled val="1"/>
        </dgm:presLayoutVars>
      </dgm:prSet>
      <dgm:spPr/>
      <dgm:t>
        <a:bodyPr/>
        <a:lstStyle/>
        <a:p>
          <a:endParaRPr lang="en-US"/>
        </a:p>
      </dgm:t>
    </dgm:pt>
    <dgm:pt modelId="{96C31211-9C65-466E-883A-DB4584619131}" type="pres">
      <dgm:prSet presAssocID="{DD385EC4-BB9E-4F8E-8B89-7F2A8D2ECC26}" presName="gear1srcNode" presStyleLbl="node1" presStyleIdx="0" presStyleCnt="3"/>
      <dgm:spPr/>
      <dgm:t>
        <a:bodyPr/>
        <a:lstStyle/>
        <a:p>
          <a:endParaRPr lang="en-US"/>
        </a:p>
      </dgm:t>
    </dgm:pt>
    <dgm:pt modelId="{E6FAC3AE-3827-4304-B935-5E3650E9E0FE}" type="pres">
      <dgm:prSet presAssocID="{DD385EC4-BB9E-4F8E-8B89-7F2A8D2ECC26}" presName="gear1dstNode" presStyleLbl="node1" presStyleIdx="0" presStyleCnt="3"/>
      <dgm:spPr/>
      <dgm:t>
        <a:bodyPr/>
        <a:lstStyle/>
        <a:p>
          <a:endParaRPr lang="en-US"/>
        </a:p>
      </dgm:t>
    </dgm:pt>
    <dgm:pt modelId="{0D22383F-2652-442E-8A9C-2FD8AFDF83B3}" type="pres">
      <dgm:prSet presAssocID="{DD385EC4-BB9E-4F8E-8B89-7F2A8D2ECC26}" presName="gear1ch" presStyleLbl="fgAcc1" presStyleIdx="0" presStyleCnt="3">
        <dgm:presLayoutVars>
          <dgm:chMax val="0"/>
          <dgm:bulletEnabled val="1"/>
        </dgm:presLayoutVars>
      </dgm:prSet>
      <dgm:spPr/>
      <dgm:t>
        <a:bodyPr/>
        <a:lstStyle/>
        <a:p>
          <a:endParaRPr lang="en-US"/>
        </a:p>
      </dgm:t>
    </dgm:pt>
    <dgm:pt modelId="{3D7C6026-32C9-4525-9A92-AF7F4166F612}" type="pres">
      <dgm:prSet presAssocID="{7B27FBE7-453F-4DE6-8201-4024E3E5E251}" presName="gear2" presStyleLbl="node1" presStyleIdx="1" presStyleCnt="3">
        <dgm:presLayoutVars>
          <dgm:chMax val="1"/>
          <dgm:bulletEnabled val="1"/>
        </dgm:presLayoutVars>
      </dgm:prSet>
      <dgm:spPr/>
      <dgm:t>
        <a:bodyPr/>
        <a:lstStyle/>
        <a:p>
          <a:endParaRPr lang="en-US"/>
        </a:p>
      </dgm:t>
    </dgm:pt>
    <dgm:pt modelId="{DF2DC3A9-7CA2-4398-9500-2304D58367A8}" type="pres">
      <dgm:prSet presAssocID="{7B27FBE7-453F-4DE6-8201-4024E3E5E251}" presName="gear2srcNode" presStyleLbl="node1" presStyleIdx="1" presStyleCnt="3"/>
      <dgm:spPr/>
      <dgm:t>
        <a:bodyPr/>
        <a:lstStyle/>
        <a:p>
          <a:endParaRPr lang="en-US"/>
        </a:p>
      </dgm:t>
    </dgm:pt>
    <dgm:pt modelId="{4F059428-5C4B-4598-A74E-0823E661A4CD}" type="pres">
      <dgm:prSet presAssocID="{7B27FBE7-453F-4DE6-8201-4024E3E5E251}" presName="gear2dstNode" presStyleLbl="node1" presStyleIdx="1" presStyleCnt="3"/>
      <dgm:spPr/>
      <dgm:t>
        <a:bodyPr/>
        <a:lstStyle/>
        <a:p>
          <a:endParaRPr lang="en-US"/>
        </a:p>
      </dgm:t>
    </dgm:pt>
    <dgm:pt modelId="{255E3899-FE59-4416-8581-8C21125914D1}" type="pres">
      <dgm:prSet presAssocID="{7B27FBE7-453F-4DE6-8201-4024E3E5E251}" presName="gear2ch" presStyleLbl="fgAcc1" presStyleIdx="1" presStyleCnt="3">
        <dgm:presLayoutVars>
          <dgm:chMax val="0"/>
          <dgm:bulletEnabled val="1"/>
        </dgm:presLayoutVars>
      </dgm:prSet>
      <dgm:spPr/>
      <dgm:t>
        <a:bodyPr/>
        <a:lstStyle/>
        <a:p>
          <a:endParaRPr lang="en-US"/>
        </a:p>
      </dgm:t>
    </dgm:pt>
    <dgm:pt modelId="{94CF3161-19E3-4FFF-B9B6-5A09AE3DDC0C}" type="pres">
      <dgm:prSet presAssocID="{27D2F3CF-EC19-4EA1-A6F3-BEA31F4544EA}" presName="gear3" presStyleLbl="node1" presStyleIdx="2" presStyleCnt="3"/>
      <dgm:spPr/>
      <dgm:t>
        <a:bodyPr/>
        <a:lstStyle/>
        <a:p>
          <a:endParaRPr lang="en-US"/>
        </a:p>
      </dgm:t>
    </dgm:pt>
    <dgm:pt modelId="{709B77D4-93CE-46B9-B1AE-E5E3E62A438C}" type="pres">
      <dgm:prSet presAssocID="{27D2F3CF-EC19-4EA1-A6F3-BEA31F4544EA}" presName="gear3tx" presStyleLbl="node1" presStyleIdx="2" presStyleCnt="3">
        <dgm:presLayoutVars>
          <dgm:chMax val="1"/>
          <dgm:bulletEnabled val="1"/>
        </dgm:presLayoutVars>
      </dgm:prSet>
      <dgm:spPr/>
      <dgm:t>
        <a:bodyPr/>
        <a:lstStyle/>
        <a:p>
          <a:endParaRPr lang="en-US"/>
        </a:p>
      </dgm:t>
    </dgm:pt>
    <dgm:pt modelId="{539A9F14-A342-483F-8814-BF1180F186DA}" type="pres">
      <dgm:prSet presAssocID="{27D2F3CF-EC19-4EA1-A6F3-BEA31F4544EA}" presName="gear3srcNode" presStyleLbl="node1" presStyleIdx="2" presStyleCnt="3"/>
      <dgm:spPr/>
      <dgm:t>
        <a:bodyPr/>
        <a:lstStyle/>
        <a:p>
          <a:endParaRPr lang="en-US"/>
        </a:p>
      </dgm:t>
    </dgm:pt>
    <dgm:pt modelId="{D8D6601A-7BDA-4533-BD82-7950E48ADE1D}" type="pres">
      <dgm:prSet presAssocID="{27D2F3CF-EC19-4EA1-A6F3-BEA31F4544EA}" presName="gear3dstNode" presStyleLbl="node1" presStyleIdx="2" presStyleCnt="3"/>
      <dgm:spPr/>
      <dgm:t>
        <a:bodyPr/>
        <a:lstStyle/>
        <a:p>
          <a:endParaRPr lang="en-US"/>
        </a:p>
      </dgm:t>
    </dgm:pt>
    <dgm:pt modelId="{76BCE5A6-FE78-4EAD-B6D3-2AECED22697A}" type="pres">
      <dgm:prSet presAssocID="{27D2F3CF-EC19-4EA1-A6F3-BEA31F4544EA}" presName="gear3ch" presStyleLbl="fgAcc1" presStyleIdx="2" presStyleCnt="3">
        <dgm:presLayoutVars>
          <dgm:chMax val="0"/>
          <dgm:bulletEnabled val="1"/>
        </dgm:presLayoutVars>
      </dgm:prSet>
      <dgm:spPr/>
      <dgm:t>
        <a:bodyPr/>
        <a:lstStyle/>
        <a:p>
          <a:endParaRPr lang="en-US"/>
        </a:p>
      </dgm:t>
    </dgm:pt>
    <dgm:pt modelId="{8646F872-5480-4350-8D3A-E7EB23A30869}" type="pres">
      <dgm:prSet presAssocID="{75EA4574-4BE5-41B4-B9EE-FA74F3E75195}" presName="connector1" presStyleLbl="sibTrans2D1" presStyleIdx="0" presStyleCnt="3"/>
      <dgm:spPr/>
      <dgm:t>
        <a:bodyPr/>
        <a:lstStyle/>
        <a:p>
          <a:endParaRPr lang="en-US"/>
        </a:p>
      </dgm:t>
    </dgm:pt>
    <dgm:pt modelId="{827794BF-3C6A-40AD-8C93-F6EB5549F16B}" type="pres">
      <dgm:prSet presAssocID="{A8993E27-C4B7-4496-BCEA-5FE3A5A9FB61}" presName="connector2" presStyleLbl="sibTrans2D1" presStyleIdx="1" presStyleCnt="3"/>
      <dgm:spPr/>
      <dgm:t>
        <a:bodyPr/>
        <a:lstStyle/>
        <a:p>
          <a:endParaRPr lang="en-US"/>
        </a:p>
      </dgm:t>
    </dgm:pt>
    <dgm:pt modelId="{E60B2E44-11A8-4636-BFDF-7F5F580F350A}" type="pres">
      <dgm:prSet presAssocID="{8AB774C2-B365-43A8-84AA-781B389C3075}" presName="connector3" presStyleLbl="sibTrans2D1" presStyleIdx="2" presStyleCnt="3"/>
      <dgm:spPr/>
      <dgm:t>
        <a:bodyPr/>
        <a:lstStyle/>
        <a:p>
          <a:endParaRPr lang="en-US"/>
        </a:p>
      </dgm:t>
    </dgm:pt>
  </dgm:ptLst>
  <dgm:cxnLst>
    <dgm:cxn modelId="{3F0A7089-35F4-468D-8182-9621513FC366}" srcId="{27D2F3CF-EC19-4EA1-A6F3-BEA31F4544EA}" destId="{49F12947-59CE-4708-9F3B-FF40E681A987}" srcOrd="2" destOrd="0" parTransId="{24B2D2F0-F93E-4411-BC88-D861ADF16AF7}" sibTransId="{241CBAC6-71B5-4D5E-976E-AB5A2A619408}"/>
    <dgm:cxn modelId="{2ABD32F3-16BE-41FF-ACEE-720283699D0C}" type="presOf" srcId="{7B27FBE7-453F-4DE6-8201-4024E3E5E251}" destId="{4F059428-5C4B-4598-A74E-0823E661A4CD}" srcOrd="2" destOrd="0" presId="urn:microsoft.com/office/officeart/2005/8/layout/gear1"/>
    <dgm:cxn modelId="{12ACA6CA-DA91-471D-ABAB-D2EFAB746E3C}" srcId="{27D2F3CF-EC19-4EA1-A6F3-BEA31F4544EA}" destId="{5103F19C-9CEA-4CC0-8B7B-E1B63060BA08}" srcOrd="1" destOrd="0" parTransId="{179942FC-8716-4D4B-898D-F920C90E3D0F}" sibTransId="{B5D50B56-7C35-4572-9A44-05DF8E259D92}"/>
    <dgm:cxn modelId="{6E17391D-DA73-42DB-96A7-1B26AF958EA6}" type="presOf" srcId="{38BFB513-7F7F-48F4-B574-7E2E06644844}" destId="{255E3899-FE59-4416-8581-8C21125914D1}" srcOrd="0" destOrd="1" presId="urn:microsoft.com/office/officeart/2005/8/layout/gear1"/>
    <dgm:cxn modelId="{946E0F5D-933E-4DA6-BB39-C15E8B0E24E7}" type="presOf" srcId="{27D2F3CF-EC19-4EA1-A6F3-BEA31F4544EA}" destId="{539A9F14-A342-483F-8814-BF1180F186DA}" srcOrd="2" destOrd="0" presId="urn:microsoft.com/office/officeart/2005/8/layout/gear1"/>
    <dgm:cxn modelId="{A975AF06-34A8-4A35-A8AA-5F5D849DBC23}" type="presOf" srcId="{DD385EC4-BB9E-4F8E-8B89-7F2A8D2ECC26}" destId="{18EF5BB9-7B52-4FB4-A996-FFFF1B7F74EC}" srcOrd="0" destOrd="0" presId="urn:microsoft.com/office/officeart/2005/8/layout/gear1"/>
    <dgm:cxn modelId="{12230E80-4902-426F-A7CE-4AF7EB4EDA4D}" type="presOf" srcId="{5103F19C-9CEA-4CC0-8B7B-E1B63060BA08}" destId="{76BCE5A6-FE78-4EAD-B6D3-2AECED22697A}" srcOrd="0" destOrd="1" presId="urn:microsoft.com/office/officeart/2005/8/layout/gear1"/>
    <dgm:cxn modelId="{9C2F7655-92A5-4BC1-9E4E-470637EACA58}" type="presOf" srcId="{0E5DAF17-6103-4CCF-BA3F-56DFB7F3E635}" destId="{255E3899-FE59-4416-8581-8C21125914D1}" srcOrd="0" destOrd="0" presId="urn:microsoft.com/office/officeart/2005/8/layout/gear1"/>
    <dgm:cxn modelId="{43CEB16B-AB6A-4872-A56E-ACD09F1F178B}" srcId="{7B27FBE7-453F-4DE6-8201-4024E3E5E251}" destId="{0E5DAF17-6103-4CCF-BA3F-56DFB7F3E635}" srcOrd="0" destOrd="0" parTransId="{1DF73108-D50F-456F-AAA2-4EDB0B2C7D15}" sibTransId="{0F99A638-7978-4C33-A921-B9735161605E}"/>
    <dgm:cxn modelId="{54B7845B-9895-46FC-A695-FC81427EBBE3}" type="presOf" srcId="{81A5204F-4AA5-4051-809A-D5593A65AC7B}" destId="{0D22383F-2652-442E-8A9C-2FD8AFDF83B3}" srcOrd="0" destOrd="0" presId="urn:microsoft.com/office/officeart/2005/8/layout/gear1"/>
    <dgm:cxn modelId="{74146B4E-0E10-43CB-95BD-75440D4AAA81}" srcId="{DD385EC4-BB9E-4F8E-8B89-7F2A8D2ECC26}" destId="{C32387F3-21C9-4079-B933-E5B73C19BFC9}" srcOrd="2" destOrd="0" parTransId="{C879C726-6AEE-4D8F-B827-CB0440031ED2}" sibTransId="{9AFC46B9-9869-4538-8E4C-F14377B1B915}"/>
    <dgm:cxn modelId="{F9F9C7AF-98D4-49D4-8762-8127A32846D8}" type="presOf" srcId="{27D2F3CF-EC19-4EA1-A6F3-BEA31F4544EA}" destId="{709B77D4-93CE-46B9-B1AE-E5E3E62A438C}" srcOrd="1" destOrd="0" presId="urn:microsoft.com/office/officeart/2005/8/layout/gear1"/>
    <dgm:cxn modelId="{A4BFF4E4-DA75-4183-9F6C-2F32A25AA31E}" type="presOf" srcId="{2261FAB4-861C-4222-8713-5A7A46AB05F8}" destId="{76BCE5A6-FE78-4EAD-B6D3-2AECED22697A}" srcOrd="0" destOrd="0" presId="urn:microsoft.com/office/officeart/2005/8/layout/gear1"/>
    <dgm:cxn modelId="{B8DAC1C3-C3E2-463F-B2E3-E47A3E01CC23}" srcId="{7B27FBE7-453F-4DE6-8201-4024E3E5E251}" destId="{FC0EC366-949D-4DA0-B6BA-D2F7C81FED52}" srcOrd="5" destOrd="0" parTransId="{29808BB2-2503-4335-9EEC-A4C8B2C7B771}" sibTransId="{EEE4F185-F072-46D1-9B7A-45D280DC4B46}"/>
    <dgm:cxn modelId="{C85953E4-5A53-49F5-A65C-DD75C42FE261}" type="presOf" srcId="{EEB095A9-5A21-4C9C-A72A-0B9B6417CB70}" destId="{255E3899-FE59-4416-8581-8C21125914D1}" srcOrd="0" destOrd="4" presId="urn:microsoft.com/office/officeart/2005/8/layout/gear1"/>
    <dgm:cxn modelId="{8B7FF8D7-7D65-4312-8121-154550FD58B8}" srcId="{7B27FBE7-453F-4DE6-8201-4024E3E5E251}" destId="{A7B43C53-EDD1-4428-AE06-C1AA677F1C1B}" srcOrd="2" destOrd="0" parTransId="{E4FB26E7-ACFA-4CA0-A00A-A5DD35DC2CD2}" sibTransId="{30BD77CC-4850-4927-B900-4E2EC4112414}"/>
    <dgm:cxn modelId="{914206E9-7C06-4C23-84C3-5E8B88C92FAA}" srcId="{DD385EC4-BB9E-4F8E-8B89-7F2A8D2ECC26}" destId="{81A5204F-4AA5-4051-809A-D5593A65AC7B}" srcOrd="0" destOrd="0" parTransId="{31FEC1C0-CB52-4B42-B5CF-311EA7F0B290}" sibTransId="{4C5799D0-9AB4-4650-8C60-802F7F712840}"/>
    <dgm:cxn modelId="{C06BE3EA-56B8-4123-AB00-B3DED2E2CFBC}" srcId="{7B27FBE7-453F-4DE6-8201-4024E3E5E251}" destId="{63C96456-4B68-48A4-BF3D-608008630233}" srcOrd="3" destOrd="0" parTransId="{5285AB9B-2BB5-43B6-97EA-3A27F9B028C6}" sibTransId="{24DFBE74-2EA0-4B32-8DFF-96D50D127BA1}"/>
    <dgm:cxn modelId="{E89DD427-F944-4491-98DD-94C3D2D41852}" srcId="{27D2F3CF-EC19-4EA1-A6F3-BEA31F4544EA}" destId="{2261FAB4-861C-4222-8713-5A7A46AB05F8}" srcOrd="0" destOrd="0" parTransId="{AA35B570-F1BA-4542-981D-4D5CDF75D4FD}" sibTransId="{03EED505-5C52-4717-A363-789C1EC38956}"/>
    <dgm:cxn modelId="{CF8B9791-8B04-4B4F-9B99-BA724E97DB96}" srcId="{7B27FBE7-453F-4DE6-8201-4024E3E5E251}" destId="{EEB095A9-5A21-4C9C-A72A-0B9B6417CB70}" srcOrd="4" destOrd="0" parTransId="{1B0FE20C-46E4-4C36-832C-DA3E17862339}" sibTransId="{5B7F5568-C259-4F0E-AFCC-685410CD82B2}"/>
    <dgm:cxn modelId="{948CED97-82F1-4059-9061-8E3A3998C3B6}" type="presOf" srcId="{A7B43C53-EDD1-4428-AE06-C1AA677F1C1B}" destId="{255E3899-FE59-4416-8581-8C21125914D1}" srcOrd="0" destOrd="2" presId="urn:microsoft.com/office/officeart/2005/8/layout/gear1"/>
    <dgm:cxn modelId="{0FCEA15E-C924-4817-8669-B0D0AA7D0800}" srcId="{DD385EC4-BB9E-4F8E-8B89-7F2A8D2ECC26}" destId="{17DCA006-E201-4AB0-83DA-C748F9F1C23B}" srcOrd="1" destOrd="0" parTransId="{43358913-FACB-447F-BBA4-0126B6D76809}" sibTransId="{B35BE739-9EDF-4A39-9AEE-4F788D676184}"/>
    <dgm:cxn modelId="{3EBFA458-E7F1-461E-9170-58C93934E1AF}" type="presOf" srcId="{FC0EC366-949D-4DA0-B6BA-D2F7C81FED52}" destId="{255E3899-FE59-4416-8581-8C21125914D1}" srcOrd="0" destOrd="5" presId="urn:microsoft.com/office/officeart/2005/8/layout/gear1"/>
    <dgm:cxn modelId="{766912CB-C623-444E-AA96-05CE43166350}" type="presOf" srcId="{C32387F3-21C9-4079-B933-E5B73C19BFC9}" destId="{0D22383F-2652-442E-8A9C-2FD8AFDF83B3}" srcOrd="0" destOrd="2" presId="urn:microsoft.com/office/officeart/2005/8/layout/gear1"/>
    <dgm:cxn modelId="{5E2DFEF9-FBC8-4A66-93A8-2C90C68424D4}" type="presOf" srcId="{7B27FBE7-453F-4DE6-8201-4024E3E5E251}" destId="{3D7C6026-32C9-4525-9A92-AF7F4166F612}" srcOrd="0" destOrd="0" presId="urn:microsoft.com/office/officeart/2005/8/layout/gear1"/>
    <dgm:cxn modelId="{2C3220AD-8AF1-4C39-A02A-A1ABEA663C9C}" srcId="{BC8DC8A3-39AF-4C72-907E-68332C268153}" destId="{7B27FBE7-453F-4DE6-8201-4024E3E5E251}" srcOrd="1" destOrd="0" parTransId="{EF0EB88C-7485-41AC-9629-5BE387E42AF2}" sibTransId="{A8993E27-C4B7-4496-BCEA-5FE3A5A9FB61}"/>
    <dgm:cxn modelId="{77BCDF53-A0B3-4BD9-8A3F-16B148597A5D}" srcId="{BC8DC8A3-39AF-4C72-907E-68332C268153}" destId="{DD385EC4-BB9E-4F8E-8B89-7F2A8D2ECC26}" srcOrd="0" destOrd="0" parTransId="{212A29E0-4FA1-487A-ADDE-2D9E8CFB1176}" sibTransId="{75EA4574-4BE5-41B4-B9EE-FA74F3E75195}"/>
    <dgm:cxn modelId="{EC8CAF5A-6115-4138-825D-BD688D2F26C5}" type="presOf" srcId="{DD385EC4-BB9E-4F8E-8B89-7F2A8D2ECC26}" destId="{E6FAC3AE-3827-4304-B935-5E3650E9E0FE}" srcOrd="2" destOrd="0" presId="urn:microsoft.com/office/officeart/2005/8/layout/gear1"/>
    <dgm:cxn modelId="{A1651434-821D-4D87-94B5-21C98066076B}" type="presOf" srcId="{49F12947-59CE-4708-9F3B-FF40E681A987}" destId="{76BCE5A6-FE78-4EAD-B6D3-2AECED22697A}" srcOrd="0" destOrd="2" presId="urn:microsoft.com/office/officeart/2005/8/layout/gear1"/>
    <dgm:cxn modelId="{0B444640-038C-4F87-B755-5AF2C4A56737}" type="presOf" srcId="{BC8DC8A3-39AF-4C72-907E-68332C268153}" destId="{F11568C3-0F4A-46F2-A413-15179EE52192}" srcOrd="0" destOrd="0" presId="urn:microsoft.com/office/officeart/2005/8/layout/gear1"/>
    <dgm:cxn modelId="{483379BE-E4A2-4E95-8DBB-313599A2C4A8}" type="presOf" srcId="{A8993E27-C4B7-4496-BCEA-5FE3A5A9FB61}" destId="{827794BF-3C6A-40AD-8C93-F6EB5549F16B}" srcOrd="0" destOrd="0" presId="urn:microsoft.com/office/officeart/2005/8/layout/gear1"/>
    <dgm:cxn modelId="{804F257A-B59A-4815-A7FB-14C5F6F5F3E5}" srcId="{7B27FBE7-453F-4DE6-8201-4024E3E5E251}" destId="{38BFB513-7F7F-48F4-B574-7E2E06644844}" srcOrd="1" destOrd="0" parTransId="{418581B2-74D2-4022-B38C-D23F2DBBC609}" sibTransId="{84972EEA-C22A-4695-A994-F126EF5CE748}"/>
    <dgm:cxn modelId="{508F164D-D55F-4703-9253-BADA333475BE}" type="presOf" srcId="{8AB774C2-B365-43A8-84AA-781B389C3075}" destId="{E60B2E44-11A8-4636-BFDF-7F5F580F350A}" srcOrd="0" destOrd="0" presId="urn:microsoft.com/office/officeart/2005/8/layout/gear1"/>
    <dgm:cxn modelId="{E690653C-A61F-41D3-B7D7-57922FA5A0F2}" type="presOf" srcId="{DD385EC4-BB9E-4F8E-8B89-7F2A8D2ECC26}" destId="{96C31211-9C65-466E-883A-DB4584619131}" srcOrd="1" destOrd="0" presId="urn:microsoft.com/office/officeart/2005/8/layout/gear1"/>
    <dgm:cxn modelId="{65F8F038-953B-4ED6-909E-D67693D0117C}" type="presOf" srcId="{27D2F3CF-EC19-4EA1-A6F3-BEA31F4544EA}" destId="{94CF3161-19E3-4FFF-B9B6-5A09AE3DDC0C}" srcOrd="0" destOrd="0" presId="urn:microsoft.com/office/officeart/2005/8/layout/gear1"/>
    <dgm:cxn modelId="{8528D003-3BAC-4EA4-B676-851DDA5EACD7}" type="presOf" srcId="{7B27FBE7-453F-4DE6-8201-4024E3E5E251}" destId="{DF2DC3A9-7CA2-4398-9500-2304D58367A8}" srcOrd="1" destOrd="0" presId="urn:microsoft.com/office/officeart/2005/8/layout/gear1"/>
    <dgm:cxn modelId="{16433884-52D4-47A5-B3AA-5247658D4022}" type="presOf" srcId="{27D2F3CF-EC19-4EA1-A6F3-BEA31F4544EA}" destId="{D8D6601A-7BDA-4533-BD82-7950E48ADE1D}" srcOrd="3" destOrd="0" presId="urn:microsoft.com/office/officeart/2005/8/layout/gear1"/>
    <dgm:cxn modelId="{E9843F7B-0A0B-49D7-A0EC-7F42D74C3D97}" type="presOf" srcId="{17DCA006-E201-4AB0-83DA-C748F9F1C23B}" destId="{0D22383F-2652-442E-8A9C-2FD8AFDF83B3}" srcOrd="0" destOrd="1" presId="urn:microsoft.com/office/officeart/2005/8/layout/gear1"/>
    <dgm:cxn modelId="{BBD73839-2523-4FD2-B7B1-0E858ED84EEB}" type="presOf" srcId="{63C96456-4B68-48A4-BF3D-608008630233}" destId="{255E3899-FE59-4416-8581-8C21125914D1}" srcOrd="0" destOrd="3" presId="urn:microsoft.com/office/officeart/2005/8/layout/gear1"/>
    <dgm:cxn modelId="{7C4E7F7E-DFAB-4977-B72F-ED29F46B7D50}" type="presOf" srcId="{75EA4574-4BE5-41B4-B9EE-FA74F3E75195}" destId="{8646F872-5480-4350-8D3A-E7EB23A30869}" srcOrd="0" destOrd="0" presId="urn:microsoft.com/office/officeart/2005/8/layout/gear1"/>
    <dgm:cxn modelId="{F37588BF-6A4E-4A7E-BD5F-BD2B77F5EABA}" srcId="{BC8DC8A3-39AF-4C72-907E-68332C268153}" destId="{27D2F3CF-EC19-4EA1-A6F3-BEA31F4544EA}" srcOrd="2" destOrd="0" parTransId="{2D56AF4D-BDE7-48A8-8002-C96E7ABDFEA0}" sibTransId="{8AB774C2-B365-43A8-84AA-781B389C3075}"/>
    <dgm:cxn modelId="{8CC90981-95E1-4E23-8F56-1C2DE470FC06}" srcId="{BC8DC8A3-39AF-4C72-907E-68332C268153}" destId="{FFBE78C3-B5DE-4A41-88C1-2C3B561E088D}" srcOrd="3" destOrd="0" parTransId="{FEE5125C-AD89-4E0D-9D5D-EC5447B6A520}" sibTransId="{9F7FFB42-0E8F-4880-89B3-65328E4EAC07}"/>
    <dgm:cxn modelId="{F2FF5FA7-5E20-4B42-872A-2CF6C158EFE8}" type="presParOf" srcId="{F11568C3-0F4A-46F2-A413-15179EE52192}" destId="{18EF5BB9-7B52-4FB4-A996-FFFF1B7F74EC}" srcOrd="0" destOrd="0" presId="urn:microsoft.com/office/officeart/2005/8/layout/gear1"/>
    <dgm:cxn modelId="{6DBF4605-A586-4538-A4F1-79F7E8E1B901}" type="presParOf" srcId="{F11568C3-0F4A-46F2-A413-15179EE52192}" destId="{96C31211-9C65-466E-883A-DB4584619131}" srcOrd="1" destOrd="0" presId="urn:microsoft.com/office/officeart/2005/8/layout/gear1"/>
    <dgm:cxn modelId="{A92FC896-3830-4D46-BA6F-6BD451E494EE}" type="presParOf" srcId="{F11568C3-0F4A-46F2-A413-15179EE52192}" destId="{E6FAC3AE-3827-4304-B935-5E3650E9E0FE}" srcOrd="2" destOrd="0" presId="urn:microsoft.com/office/officeart/2005/8/layout/gear1"/>
    <dgm:cxn modelId="{12F4D5C1-0701-428B-A43D-7CE1B3D5CF96}" type="presParOf" srcId="{F11568C3-0F4A-46F2-A413-15179EE52192}" destId="{0D22383F-2652-442E-8A9C-2FD8AFDF83B3}" srcOrd="3" destOrd="0" presId="urn:microsoft.com/office/officeart/2005/8/layout/gear1"/>
    <dgm:cxn modelId="{EF5E54E6-AA09-4927-B70A-609A80C6837C}" type="presParOf" srcId="{F11568C3-0F4A-46F2-A413-15179EE52192}" destId="{3D7C6026-32C9-4525-9A92-AF7F4166F612}" srcOrd="4" destOrd="0" presId="urn:microsoft.com/office/officeart/2005/8/layout/gear1"/>
    <dgm:cxn modelId="{98194EF9-6299-4F00-A922-CADB17FA3AF9}" type="presParOf" srcId="{F11568C3-0F4A-46F2-A413-15179EE52192}" destId="{DF2DC3A9-7CA2-4398-9500-2304D58367A8}" srcOrd="5" destOrd="0" presId="urn:microsoft.com/office/officeart/2005/8/layout/gear1"/>
    <dgm:cxn modelId="{B765E544-FAD9-4480-AA7E-B8EE1F36BA1C}" type="presParOf" srcId="{F11568C3-0F4A-46F2-A413-15179EE52192}" destId="{4F059428-5C4B-4598-A74E-0823E661A4CD}" srcOrd="6" destOrd="0" presId="urn:microsoft.com/office/officeart/2005/8/layout/gear1"/>
    <dgm:cxn modelId="{34804C85-C243-4B3E-A7E1-AC0043B31C99}" type="presParOf" srcId="{F11568C3-0F4A-46F2-A413-15179EE52192}" destId="{255E3899-FE59-4416-8581-8C21125914D1}" srcOrd="7" destOrd="0" presId="urn:microsoft.com/office/officeart/2005/8/layout/gear1"/>
    <dgm:cxn modelId="{CB167A96-9744-4327-B87E-1A9337C959E9}" type="presParOf" srcId="{F11568C3-0F4A-46F2-A413-15179EE52192}" destId="{94CF3161-19E3-4FFF-B9B6-5A09AE3DDC0C}" srcOrd="8" destOrd="0" presId="urn:microsoft.com/office/officeart/2005/8/layout/gear1"/>
    <dgm:cxn modelId="{36CB966A-4197-4A84-973E-4F8BAD43D433}" type="presParOf" srcId="{F11568C3-0F4A-46F2-A413-15179EE52192}" destId="{709B77D4-93CE-46B9-B1AE-E5E3E62A438C}" srcOrd="9" destOrd="0" presId="urn:microsoft.com/office/officeart/2005/8/layout/gear1"/>
    <dgm:cxn modelId="{AE6EA0CC-97E9-4297-8730-4A595A4DFBF3}" type="presParOf" srcId="{F11568C3-0F4A-46F2-A413-15179EE52192}" destId="{539A9F14-A342-483F-8814-BF1180F186DA}" srcOrd="10" destOrd="0" presId="urn:microsoft.com/office/officeart/2005/8/layout/gear1"/>
    <dgm:cxn modelId="{16B9237F-92E0-414D-8E4A-2C81BE0450A1}" type="presParOf" srcId="{F11568C3-0F4A-46F2-A413-15179EE52192}" destId="{D8D6601A-7BDA-4533-BD82-7950E48ADE1D}" srcOrd="11" destOrd="0" presId="urn:microsoft.com/office/officeart/2005/8/layout/gear1"/>
    <dgm:cxn modelId="{76AAFA3C-3148-4229-AF4A-E1C722B91A5B}" type="presParOf" srcId="{F11568C3-0F4A-46F2-A413-15179EE52192}" destId="{76BCE5A6-FE78-4EAD-B6D3-2AECED22697A}" srcOrd="12" destOrd="0" presId="urn:microsoft.com/office/officeart/2005/8/layout/gear1"/>
    <dgm:cxn modelId="{67E6A27F-EF02-4AEA-AECD-1C702E8E7DDA}" type="presParOf" srcId="{F11568C3-0F4A-46F2-A413-15179EE52192}" destId="{8646F872-5480-4350-8D3A-E7EB23A30869}" srcOrd="13" destOrd="0" presId="urn:microsoft.com/office/officeart/2005/8/layout/gear1"/>
    <dgm:cxn modelId="{5E791AEB-EAA2-4D11-86FE-D01399F44C49}" type="presParOf" srcId="{F11568C3-0F4A-46F2-A413-15179EE52192}" destId="{827794BF-3C6A-40AD-8C93-F6EB5549F16B}" srcOrd="14" destOrd="0" presId="urn:microsoft.com/office/officeart/2005/8/layout/gear1"/>
    <dgm:cxn modelId="{75114B38-E528-4A79-A9F8-3E3DA0262072}" type="presParOf" srcId="{F11568C3-0F4A-46F2-A413-15179EE52192}" destId="{E60B2E44-11A8-4636-BFDF-7F5F580F350A}" srcOrd="15" destOrd="0" presId="urn:microsoft.com/office/officeart/2005/8/layout/gear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EF5BB9-7B52-4FB4-A996-FFFF1B7F74EC}">
      <dsp:nvSpPr>
        <dsp:cNvPr id="0" name=""/>
        <dsp:cNvSpPr/>
      </dsp:nvSpPr>
      <dsp:spPr>
        <a:xfrm>
          <a:off x="2583180" y="1440180"/>
          <a:ext cx="1760220" cy="1760220"/>
        </a:xfrm>
        <a:prstGeom prst="gear9">
          <a:avLst/>
        </a:prstGeom>
        <a:solidFill>
          <a:srgbClr val="CC99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buFont typeface="+mj-lt"/>
            <a:buAutoNum type="arabicPeriod"/>
          </a:pPr>
          <a:r>
            <a:rPr lang="en-GB" sz="700" kern="1200"/>
            <a:t>Teaching</a:t>
          </a:r>
        </a:p>
      </dsp:txBody>
      <dsp:txXfrm>
        <a:off x="2937063" y="1852503"/>
        <a:ext cx="1052454" cy="904790"/>
      </dsp:txXfrm>
    </dsp:sp>
    <dsp:sp modelId="{0D22383F-2652-442E-8A9C-2FD8AFDF83B3}">
      <dsp:nvSpPr>
        <dsp:cNvPr id="0" name=""/>
        <dsp:cNvSpPr/>
      </dsp:nvSpPr>
      <dsp:spPr>
        <a:xfrm>
          <a:off x="2359152" y="2528315"/>
          <a:ext cx="1120140" cy="672084"/>
        </a:xfrm>
        <a:prstGeom prst="roundRect">
          <a:avLst>
            <a:gd name="adj" fmla="val 10000"/>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222250">
            <a:lnSpc>
              <a:spcPct val="90000"/>
            </a:lnSpc>
            <a:spcBef>
              <a:spcPct val="0"/>
            </a:spcBef>
            <a:spcAft>
              <a:spcPct val="15000"/>
            </a:spcAft>
            <a:buChar char="••"/>
          </a:pPr>
          <a:r>
            <a:rPr lang="en-GB" sz="500" kern="1200"/>
            <a:t>Recruitment and Retention</a:t>
          </a:r>
        </a:p>
        <a:p>
          <a:pPr marL="57150" lvl="1" indent="-57150" algn="l" defTabSz="222250">
            <a:lnSpc>
              <a:spcPct val="90000"/>
            </a:lnSpc>
            <a:spcBef>
              <a:spcPct val="0"/>
            </a:spcBef>
            <a:spcAft>
              <a:spcPct val="15000"/>
            </a:spcAft>
            <a:buChar char="••"/>
          </a:pPr>
          <a:r>
            <a:rPr lang="en-GB" sz="500" kern="1200"/>
            <a:t>Professional Development</a:t>
          </a:r>
        </a:p>
        <a:p>
          <a:pPr marL="57150" lvl="1" indent="-57150" algn="l" defTabSz="222250">
            <a:lnSpc>
              <a:spcPct val="90000"/>
            </a:lnSpc>
            <a:spcBef>
              <a:spcPct val="0"/>
            </a:spcBef>
            <a:spcAft>
              <a:spcPct val="15000"/>
            </a:spcAft>
            <a:buChar char="••"/>
          </a:pPr>
          <a:r>
            <a:rPr lang="en-GB" sz="500" kern="1200"/>
            <a:t>Support for early-career teachers</a:t>
          </a:r>
        </a:p>
      </dsp:txBody>
      <dsp:txXfrm>
        <a:off x="2378837" y="2548000"/>
        <a:ext cx="1080770" cy="632714"/>
      </dsp:txXfrm>
    </dsp:sp>
    <dsp:sp modelId="{3D7C6026-32C9-4525-9A92-AF7F4166F612}">
      <dsp:nvSpPr>
        <dsp:cNvPr id="0" name=""/>
        <dsp:cNvSpPr/>
      </dsp:nvSpPr>
      <dsp:spPr>
        <a:xfrm>
          <a:off x="1559051" y="1024128"/>
          <a:ext cx="1280160" cy="1280160"/>
        </a:xfrm>
        <a:prstGeom prst="gear6">
          <a:avLst/>
        </a:prstGeom>
        <a:solidFill>
          <a:srgbClr val="CC00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buFont typeface="+mj-lt"/>
            <a:buAutoNum type="arabicPeriod"/>
          </a:pPr>
          <a:r>
            <a:rPr lang="en-GB" sz="700" kern="1200"/>
            <a:t>Wider intervention</a:t>
          </a:r>
        </a:p>
      </dsp:txBody>
      <dsp:txXfrm>
        <a:off x="1881335" y="1348360"/>
        <a:ext cx="635592" cy="631696"/>
      </dsp:txXfrm>
    </dsp:sp>
    <dsp:sp modelId="{255E3899-FE59-4416-8581-8C21125914D1}">
      <dsp:nvSpPr>
        <dsp:cNvPr id="0" name=""/>
        <dsp:cNvSpPr/>
      </dsp:nvSpPr>
      <dsp:spPr>
        <a:xfrm>
          <a:off x="1142999" y="1856232"/>
          <a:ext cx="1120140" cy="672084"/>
        </a:xfrm>
        <a:prstGeom prst="roundRect">
          <a:avLst>
            <a:gd name="adj" fmla="val 10000"/>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222250">
            <a:lnSpc>
              <a:spcPct val="90000"/>
            </a:lnSpc>
            <a:spcBef>
              <a:spcPct val="0"/>
            </a:spcBef>
            <a:spcAft>
              <a:spcPct val="15000"/>
            </a:spcAft>
            <a:buChar char="••"/>
          </a:pPr>
          <a:r>
            <a:rPr lang="en-GB" sz="500" kern="1200"/>
            <a:t>Attendance</a:t>
          </a:r>
        </a:p>
        <a:p>
          <a:pPr marL="57150" lvl="1" indent="-57150" algn="l" defTabSz="222250">
            <a:lnSpc>
              <a:spcPct val="90000"/>
            </a:lnSpc>
            <a:spcBef>
              <a:spcPct val="0"/>
            </a:spcBef>
            <a:spcAft>
              <a:spcPct val="15000"/>
            </a:spcAft>
            <a:buChar char="••"/>
          </a:pPr>
          <a:r>
            <a:rPr lang="en-GB" sz="500" kern="1200"/>
            <a:t>R2L (Ready2Learn)</a:t>
          </a:r>
        </a:p>
        <a:p>
          <a:pPr marL="57150" lvl="1" indent="-57150" algn="l" defTabSz="222250">
            <a:lnSpc>
              <a:spcPct val="90000"/>
            </a:lnSpc>
            <a:spcBef>
              <a:spcPct val="0"/>
            </a:spcBef>
            <a:spcAft>
              <a:spcPct val="15000"/>
            </a:spcAft>
            <a:buChar char="••"/>
          </a:pPr>
          <a:r>
            <a:rPr lang="en-GB" sz="500" kern="1200"/>
            <a:t>Play Therapy</a:t>
          </a:r>
        </a:p>
        <a:p>
          <a:pPr marL="57150" lvl="1" indent="-57150" algn="l" defTabSz="222250">
            <a:lnSpc>
              <a:spcPct val="90000"/>
            </a:lnSpc>
            <a:spcBef>
              <a:spcPct val="0"/>
            </a:spcBef>
            <a:spcAft>
              <a:spcPct val="15000"/>
            </a:spcAft>
            <a:buChar char="••"/>
          </a:pPr>
          <a:r>
            <a:rPr lang="en-GB" sz="500" kern="1200"/>
            <a:t>Behaviour Approaches</a:t>
          </a:r>
        </a:p>
        <a:p>
          <a:pPr marL="57150" lvl="1" indent="-57150" algn="l" defTabSz="222250">
            <a:lnSpc>
              <a:spcPct val="90000"/>
            </a:lnSpc>
            <a:spcBef>
              <a:spcPct val="0"/>
            </a:spcBef>
            <a:spcAft>
              <a:spcPct val="15000"/>
            </a:spcAft>
            <a:buChar char="••"/>
          </a:pPr>
          <a:r>
            <a:rPr lang="en-GB" sz="500" kern="1200"/>
            <a:t>Thrive</a:t>
          </a:r>
        </a:p>
        <a:p>
          <a:pPr marL="57150" lvl="1" indent="-57150" algn="l" defTabSz="222250">
            <a:lnSpc>
              <a:spcPct val="90000"/>
            </a:lnSpc>
            <a:spcBef>
              <a:spcPct val="0"/>
            </a:spcBef>
            <a:spcAft>
              <a:spcPct val="15000"/>
            </a:spcAft>
            <a:buChar char="••"/>
          </a:pPr>
          <a:r>
            <a:rPr lang="en-GB" sz="500" kern="1200"/>
            <a:t>Breakfast Clubs</a:t>
          </a:r>
        </a:p>
      </dsp:txBody>
      <dsp:txXfrm>
        <a:off x="1162684" y="1875917"/>
        <a:ext cx="1080770" cy="632714"/>
      </dsp:txXfrm>
    </dsp:sp>
    <dsp:sp modelId="{94CF3161-19E3-4FFF-B9B6-5A09AE3DDC0C}">
      <dsp:nvSpPr>
        <dsp:cNvPr id="0" name=""/>
        <dsp:cNvSpPr/>
      </dsp:nvSpPr>
      <dsp:spPr>
        <a:xfrm rot="20700000">
          <a:off x="2276072" y="140948"/>
          <a:ext cx="1254295" cy="1254295"/>
        </a:xfrm>
        <a:prstGeom prst="gear6">
          <a:avLst/>
        </a:prstGeom>
        <a:solidFill>
          <a:srgbClr val="9999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buFont typeface="+mj-lt"/>
            <a:buAutoNum type="arabicPeriod"/>
          </a:pPr>
          <a:r>
            <a:rPr lang="en-GB" sz="700" kern="1200"/>
            <a:t>Targeted academic support</a:t>
          </a:r>
        </a:p>
      </dsp:txBody>
      <dsp:txXfrm rot="-20700000">
        <a:off x="2551176" y="416052"/>
        <a:ext cx="704088" cy="704088"/>
      </dsp:txXfrm>
    </dsp:sp>
    <dsp:sp modelId="{76BCE5A6-FE78-4EAD-B6D3-2AECED22697A}">
      <dsp:nvSpPr>
        <dsp:cNvPr id="0" name=""/>
        <dsp:cNvSpPr/>
      </dsp:nvSpPr>
      <dsp:spPr>
        <a:xfrm>
          <a:off x="3223260" y="416052"/>
          <a:ext cx="1120140" cy="672084"/>
        </a:xfrm>
        <a:prstGeom prst="roundRect">
          <a:avLst>
            <a:gd name="adj" fmla="val 10000"/>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222250">
            <a:lnSpc>
              <a:spcPct val="90000"/>
            </a:lnSpc>
            <a:spcBef>
              <a:spcPct val="0"/>
            </a:spcBef>
            <a:spcAft>
              <a:spcPct val="15000"/>
            </a:spcAft>
            <a:buChar char="••"/>
          </a:pPr>
          <a:r>
            <a:rPr lang="en-GB" sz="500" kern="1200"/>
            <a:t>Personalised and structured interventions</a:t>
          </a:r>
        </a:p>
        <a:p>
          <a:pPr marL="57150" lvl="1" indent="-57150" algn="l" defTabSz="222250">
            <a:lnSpc>
              <a:spcPct val="90000"/>
            </a:lnSpc>
            <a:spcBef>
              <a:spcPct val="0"/>
            </a:spcBef>
            <a:spcAft>
              <a:spcPct val="15000"/>
            </a:spcAft>
            <a:buChar char="••"/>
          </a:pPr>
          <a:r>
            <a:rPr lang="en-GB" sz="500" kern="1200"/>
            <a:t>Small group interventions</a:t>
          </a:r>
        </a:p>
        <a:p>
          <a:pPr marL="57150" lvl="1" indent="-57150" algn="l" defTabSz="222250">
            <a:lnSpc>
              <a:spcPct val="90000"/>
            </a:lnSpc>
            <a:spcBef>
              <a:spcPct val="0"/>
            </a:spcBef>
            <a:spcAft>
              <a:spcPct val="15000"/>
            </a:spcAft>
            <a:buChar char="••"/>
          </a:pPr>
          <a:r>
            <a:rPr lang="en-GB" sz="500" kern="1200"/>
            <a:t>One-to-one support</a:t>
          </a:r>
        </a:p>
      </dsp:txBody>
      <dsp:txXfrm>
        <a:off x="3242945" y="435737"/>
        <a:ext cx="1080770" cy="632714"/>
      </dsp:txXfrm>
    </dsp:sp>
    <dsp:sp modelId="{8646F872-5480-4350-8D3A-E7EB23A30869}">
      <dsp:nvSpPr>
        <dsp:cNvPr id="0" name=""/>
        <dsp:cNvSpPr/>
      </dsp:nvSpPr>
      <dsp:spPr>
        <a:xfrm>
          <a:off x="2437231" y="1180540"/>
          <a:ext cx="2253081" cy="2253081"/>
        </a:xfrm>
        <a:prstGeom prst="circularArrow">
          <a:avLst>
            <a:gd name="adj1" fmla="val 4687"/>
            <a:gd name="adj2" fmla="val 299029"/>
            <a:gd name="adj3" fmla="val 2486671"/>
            <a:gd name="adj4" fmla="val 15926341"/>
            <a:gd name="adj5" fmla="val 5469"/>
          </a:avLst>
        </a:prstGeom>
        <a:solidFill>
          <a:srgbClr val="9999FF"/>
        </a:solidFill>
        <a:ln>
          <a:noFill/>
        </a:ln>
        <a:effectLst/>
      </dsp:spPr>
      <dsp:style>
        <a:lnRef idx="0">
          <a:scrgbClr r="0" g="0" b="0"/>
        </a:lnRef>
        <a:fillRef idx="1">
          <a:scrgbClr r="0" g="0" b="0"/>
        </a:fillRef>
        <a:effectRef idx="0">
          <a:scrgbClr r="0" g="0" b="0"/>
        </a:effectRef>
        <a:fontRef idx="minor">
          <a:schemeClr val="lt1"/>
        </a:fontRef>
      </dsp:style>
    </dsp:sp>
    <dsp:sp modelId="{827794BF-3C6A-40AD-8C93-F6EB5549F16B}">
      <dsp:nvSpPr>
        <dsp:cNvPr id="0" name=""/>
        <dsp:cNvSpPr/>
      </dsp:nvSpPr>
      <dsp:spPr>
        <a:xfrm>
          <a:off x="1332338" y="745142"/>
          <a:ext cx="1637004" cy="1637004"/>
        </a:xfrm>
        <a:prstGeom prst="leftCircularArrow">
          <a:avLst>
            <a:gd name="adj1" fmla="val 6452"/>
            <a:gd name="adj2" fmla="val 429999"/>
            <a:gd name="adj3" fmla="val 10489124"/>
            <a:gd name="adj4" fmla="val 14837806"/>
            <a:gd name="adj5" fmla="val 7527"/>
          </a:avLst>
        </a:prstGeom>
        <a:solidFill>
          <a:srgbClr val="CC99FF"/>
        </a:solidFill>
        <a:ln>
          <a:noFill/>
        </a:ln>
        <a:effectLst/>
      </dsp:spPr>
      <dsp:style>
        <a:lnRef idx="0">
          <a:scrgbClr r="0" g="0" b="0"/>
        </a:lnRef>
        <a:fillRef idx="1">
          <a:scrgbClr r="0" g="0" b="0"/>
        </a:fillRef>
        <a:effectRef idx="0">
          <a:scrgbClr r="0" g="0" b="0"/>
        </a:effectRef>
        <a:fontRef idx="minor">
          <a:schemeClr val="lt1"/>
        </a:fontRef>
      </dsp:style>
    </dsp:sp>
    <dsp:sp modelId="{E60B2E44-11A8-4636-BFDF-7F5F580F350A}">
      <dsp:nvSpPr>
        <dsp:cNvPr id="0" name=""/>
        <dsp:cNvSpPr/>
      </dsp:nvSpPr>
      <dsp:spPr>
        <a:xfrm>
          <a:off x="1985940" y="-129524"/>
          <a:ext cx="1765020" cy="1765020"/>
        </a:xfrm>
        <a:prstGeom prst="circularArrow">
          <a:avLst>
            <a:gd name="adj1" fmla="val 5984"/>
            <a:gd name="adj2" fmla="val 394124"/>
            <a:gd name="adj3" fmla="val 13313824"/>
            <a:gd name="adj4" fmla="val 10508221"/>
            <a:gd name="adj5" fmla="val 6981"/>
          </a:avLst>
        </a:prstGeom>
        <a:solidFill>
          <a:srgbClr val="CC00FF"/>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46D83A8B49FF4FB3DDC102AB857301" ma:contentTypeVersion="11" ma:contentTypeDescription="Create a new document." ma:contentTypeScope="" ma:versionID="4f0857c8f215b2eda125d431c05fd756">
  <xsd:schema xmlns:xsd="http://www.w3.org/2001/XMLSchema" xmlns:xs="http://www.w3.org/2001/XMLSchema" xmlns:p="http://schemas.microsoft.com/office/2006/metadata/properties" xmlns:ns3="286e6cf0-43e7-4ae5-8321-4bd3947a9fb5" xmlns:ns4="69b5dd8e-cd28-4e20-9d62-7e72d6e0b696" targetNamespace="http://schemas.microsoft.com/office/2006/metadata/properties" ma:root="true" ma:fieldsID="977af5b477084980f66ce792b6c48fb7" ns3:_="" ns4:_="">
    <xsd:import namespace="286e6cf0-43e7-4ae5-8321-4bd3947a9fb5"/>
    <xsd:import namespace="69b5dd8e-cd28-4e20-9d62-7e72d6e0b6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e6cf0-43e7-4ae5-8321-4bd3947a9f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b5dd8e-cd28-4e20-9d62-7e72d6e0b6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E60779-32AC-47BA-8075-B6E6BD292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e6cf0-43e7-4ae5-8321-4bd3947a9fb5"/>
    <ds:schemaRef ds:uri="69b5dd8e-cd28-4e20-9d62-7e72d6e0b6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01FAC-9701-4E43-B246-809472490B7F}">
  <ds:schemaRefs>
    <ds:schemaRef ds:uri="http://schemas.microsoft.com/sharepoint/v3/contenttype/forms"/>
  </ds:schemaRefs>
</ds:datastoreItem>
</file>

<file path=customXml/itemProps3.xml><?xml version="1.0" encoding="utf-8"?>
<ds:datastoreItem xmlns:ds="http://schemas.openxmlformats.org/officeDocument/2006/customXml" ds:itemID="{D62EC277-8247-4475-8B66-BEB7B9F921CE}">
  <ds:schemaRefs>
    <ds:schemaRef ds:uri="http://schemas.microsoft.com/office/2006/documentManagement/types"/>
    <ds:schemaRef ds:uri="http://schemas.openxmlformats.org/package/2006/metadata/core-properties"/>
    <ds:schemaRef ds:uri="http://purl.org/dc/dcmitype/"/>
    <ds:schemaRef ds:uri="69b5dd8e-cd28-4e20-9d62-7e72d6e0b696"/>
    <ds:schemaRef ds:uri="http://purl.org/dc/elements/1.1/"/>
    <ds:schemaRef ds:uri="http://schemas.microsoft.com/office/2006/metadata/properties"/>
    <ds:schemaRef ds:uri="286e6cf0-43e7-4ae5-8321-4bd3947a9fb5"/>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1390</Words>
  <Characters>7927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Dover Road Community Primary School, NORTHFLEET</Company>
  <LinksUpToDate>false</LinksUpToDate>
  <CharactersWithSpaces>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Wood</dc:creator>
  <cp:lastModifiedBy>Nicola Creed</cp:lastModifiedBy>
  <cp:revision>2</cp:revision>
  <dcterms:created xsi:type="dcterms:W3CDTF">2020-01-14T15:14:00Z</dcterms:created>
  <dcterms:modified xsi:type="dcterms:W3CDTF">2020-01-14T15:14:00Z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0x0101004A46D83A8B49FF4FB3DDC102AB857301</vt:lpwstr>
  </property>
</Properties>
</file>